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sz w:val="52"/>
          <w:szCs w:val="52"/>
        </w:rPr>
        <w:t xml:space="preserve">Animal Welfare and Ethical Review Body (AWERB)</w:t>
      </w:r>
    </w:p>
    <w:p>
      <w:pPr>
        <w:tabs>
          <w:tab w:val="left" w:pos="850"/>
        </w:tabs>
        <w:spacing w:after="160" w:before="120"/>
        <w:ind w:left="850" w:hanging="850"/>
      </w:pPr>
      <w:r>
        <w:rPr>
          <w:rFonts w:ascii="Calibri" w:cs="Calibri" w:eastAsia="Calibri" w:hAnsi="Calibri"/>
          <w:sz w:val="22"/>
          <w:szCs w:val="22"/>
        </w:rPr>
        <w:t xml:space="preserve">25/13	</w:t>
      </w:r>
      <w:r>
        <w:rPr>
          <w:rFonts w:ascii="Calibri" w:cs="Calibri" w:eastAsia="Calibri" w:hAnsi="Calibri"/>
          <w:sz w:val="22"/>
          <w:szCs w:val="22"/>
        </w:rPr>
        <w:t xml:space="preserve">A meeting of the Animal Welfare and Ethical Review Body (AWERB) was held on Thursday 8 May 2025 at 10.00 am via Teams.</w:t>
      </w:r>
    </w:p>
    <w:p>
      <w:pPr>
        <w:tabs>
          <w:tab w:val="left" w:pos="2270"/>
        </w:tabs>
        <w:spacing w:after="0"/>
        <w:ind w:left="2270" w:hanging="1420"/>
      </w:pPr>
      <w:r>
        <w:rPr>
          <w:rFonts w:ascii="Calibri" w:cs="Calibri" w:eastAsia="Calibri" w:hAnsi="Calibri"/>
          <w:sz w:val="22"/>
          <w:szCs w:val="22"/>
        </w:rPr>
        <w:t xml:space="preserve">Present:	</w:t>
      </w:r>
      <w:r>
        <w:rPr>
          <w:rFonts w:ascii="Calibri" w:cs="Calibri" w:eastAsia="Calibri" w:hAnsi="Calibri"/>
          <w:sz w:val="22"/>
          <w:szCs w:val="22"/>
        </w:rPr>
        <w:t xml:space="preserve">Dr Richard Messer, Establishment Licence Holder (Chair)</w:t>
      </w:r>
    </w:p>
    <w:p>
      <w:pPr>
        <w:tabs>
          <w:tab w:val="left" w:pos="2270"/>
        </w:tabs>
        <w:spacing w:after="0"/>
        <w:ind w:left="2270"/>
      </w:pPr>
      <w:r>
        <w:rPr>
          <w:rFonts w:ascii="Calibri" w:cs="Calibri" w:eastAsia="Calibri" w:hAnsi="Calibri"/>
          <w:sz w:val="22"/>
          <w:szCs w:val="22"/>
        </w:rPr>
        <w:t xml:space="preserve">Dr Geoff Botting, independent external lay member</w:t>
      </w:r>
    </w:p>
    <w:p>
      <w:pPr>
        <w:tabs>
          <w:tab w:val="left" w:pos="2270"/>
        </w:tabs>
        <w:spacing w:after="0"/>
        <w:ind w:left="2270"/>
      </w:pPr>
      <w:r>
        <w:rPr>
          <w:rFonts w:ascii="Calibri" w:cs="Calibri" w:eastAsia="Calibri" w:hAnsi="Calibri"/>
          <w:sz w:val="22"/>
          <w:szCs w:val="22"/>
        </w:rPr>
        <w:t xml:space="preserve">Dr Les Crompton, School of Agriculture, Policy and Development</w:t>
      </w:r>
    </w:p>
    <w:p>
      <w:pPr>
        <w:tabs>
          <w:tab w:val="left" w:pos="2270"/>
        </w:tabs>
        <w:spacing w:after="0"/>
        <w:ind w:left="2270"/>
      </w:pPr>
      <w:r>
        <w:rPr>
          <w:rFonts w:ascii="Calibri" w:cs="Calibri" w:eastAsia="Calibri" w:hAnsi="Calibri"/>
          <w:sz w:val="22"/>
          <w:szCs w:val="22"/>
        </w:rPr>
        <w:t xml:space="preserve">Abbe Davy, Head of Quality Assurance in Research</w:t>
      </w:r>
    </w:p>
    <w:p>
      <w:pPr>
        <w:tabs>
          <w:tab w:val="left" w:pos="2270"/>
        </w:tabs>
        <w:spacing w:after="0"/>
        <w:ind w:left="2270"/>
      </w:pPr>
      <w:r>
        <w:rPr>
          <w:rFonts w:ascii="Calibri" w:cs="Calibri" w:eastAsia="Calibri" w:hAnsi="Calibri"/>
          <w:sz w:val="22"/>
          <w:szCs w:val="22"/>
        </w:rPr>
        <w:t xml:space="preserve">Dr Karen Henderson, Director of Research and Innovation</w:t>
      </w:r>
    </w:p>
    <w:p>
      <w:pPr>
        <w:tabs>
          <w:tab w:val="left" w:pos="2270"/>
        </w:tabs>
        <w:spacing w:after="0"/>
        <w:ind w:left="2270"/>
      </w:pPr>
      <w:r>
        <w:rPr>
          <w:rFonts w:ascii="Calibri" w:cs="Calibri" w:eastAsia="Calibri" w:hAnsi="Calibri"/>
          <w:sz w:val="22"/>
          <w:szCs w:val="22"/>
        </w:rPr>
        <w:t xml:space="preserve">Dave Humphries, Head of Specialist Units, CEDAR</w:t>
      </w:r>
    </w:p>
    <w:p>
      <w:pPr>
        <w:tabs>
          <w:tab w:val="left" w:pos="2270"/>
        </w:tabs>
        <w:spacing w:after="0"/>
        <w:ind w:left="2270"/>
      </w:pPr>
      <w:r>
        <w:rPr>
          <w:rFonts w:ascii="Calibri" w:cs="Calibri" w:eastAsia="Calibri" w:hAnsi="Calibri"/>
          <w:sz w:val="22"/>
          <w:szCs w:val="22"/>
        </w:rPr>
        <w:t xml:space="preserve">Shellene Hurley, NVS</w:t>
      </w:r>
    </w:p>
    <w:p>
      <w:pPr>
        <w:tabs>
          <w:tab w:val="left" w:pos="2270"/>
        </w:tabs>
        <w:spacing w:after="0"/>
        <w:ind w:left="2270"/>
      </w:pPr>
      <w:r>
        <w:rPr>
          <w:rFonts w:ascii="Calibri" w:cs="Calibri" w:eastAsia="Calibri" w:hAnsi="Calibri"/>
          <w:sz w:val="22"/>
          <w:szCs w:val="22"/>
        </w:rPr>
        <w:t xml:space="preserve">Barney Jones, Animal Sciences</w:t>
      </w:r>
    </w:p>
    <w:p>
      <w:pPr>
        <w:tabs>
          <w:tab w:val="left" w:pos="2270"/>
        </w:tabs>
        <w:spacing w:after="0"/>
        <w:ind w:left="2270"/>
      </w:pPr>
      <w:r>
        <w:rPr>
          <w:rFonts w:ascii="Calibri" w:cs="Calibri" w:eastAsia="Calibri" w:hAnsi="Calibri"/>
          <w:sz w:val="22"/>
          <w:szCs w:val="22"/>
        </w:rPr>
        <w:t xml:space="preserve">Dr Maggie Lloyd, NVS</w:t>
      </w:r>
    </w:p>
    <w:p>
      <w:pPr>
        <w:tabs>
          <w:tab w:val="left" w:pos="2270"/>
        </w:tabs>
        <w:spacing w:after="0"/>
        <w:ind w:left="2270"/>
      </w:pPr>
      <w:r>
        <w:rPr>
          <w:rFonts w:ascii="Calibri" w:cs="Calibri" w:eastAsia="Calibri" w:hAnsi="Calibri"/>
          <w:sz w:val="22"/>
          <w:szCs w:val="22"/>
        </w:rPr>
        <w:t xml:space="preserve">Professor Mortimer, Head of School of Agriculture, Policy and Development</w:t>
      </w:r>
    </w:p>
    <w:p>
      <w:pPr>
        <w:tabs>
          <w:tab w:val="left" w:pos="2270"/>
        </w:tabs>
        <w:spacing w:after="0"/>
        <w:ind w:left="2270"/>
      </w:pPr>
      <w:r>
        <w:rPr>
          <w:rFonts w:ascii="Calibri" w:cs="Calibri" w:eastAsia="Calibri" w:hAnsi="Calibri"/>
          <w:sz w:val="22"/>
          <w:szCs w:val="22"/>
        </w:rPr>
        <w:t xml:space="preserve">Dr Alice Pollitt, School of Biological Sciences</w:t>
      </w:r>
    </w:p>
    <w:p>
      <w:pPr>
        <w:tabs>
          <w:tab w:val="left" w:pos="2270"/>
        </w:tabs>
        <w:spacing w:after="0"/>
        <w:ind w:left="2270"/>
      </w:pPr>
      <w:r>
        <w:rPr>
          <w:rFonts w:ascii="Calibri" w:cs="Calibri" w:eastAsia="Calibri" w:hAnsi="Calibri"/>
          <w:sz w:val="22"/>
          <w:szCs w:val="22"/>
        </w:rPr>
        <w:t xml:space="preserve">Dr Paul Preston, independent external lay member</w:t>
      </w:r>
    </w:p>
    <w:p>
      <w:pPr>
        <w:tabs>
          <w:tab w:val="left" w:pos="2270"/>
        </w:tabs>
        <w:spacing w:after="0"/>
        <w:ind w:left="2270"/>
      </w:pPr>
      <w:r>
        <w:rPr>
          <w:rFonts w:ascii="Calibri" w:cs="Calibri" w:eastAsia="Calibri" w:hAnsi="Calibri"/>
          <w:sz w:val="22"/>
          <w:szCs w:val="22"/>
        </w:rPr>
        <w:t xml:space="preserve">Cheryl Yalden, Technical Manager BRU</w:t>
      </w:r>
    </w:p>
    <w:p>
      <w:pPr>
        <w:tabs>
          <w:tab w:val="left" w:pos="2270"/>
        </w:tabs>
        <w:spacing w:after="0"/>
        <w:ind w:left="2270"/>
      </w:pPr>
      <w:r>
        <w:rPr>
          <w:rFonts w:ascii="Calibri" w:cs="Calibri" w:eastAsia="Calibri" w:hAnsi="Calibri"/>
          <w:sz w:val="22"/>
          <w:szCs w:val="22"/>
        </w:rPr>
        <w:t xml:space="preserve">Ms Louise Sharman, (Secretary)</w:t>
      </w:r>
    </w:p>
    <w:p>
      <w:pPr>
        <w:spacing w:after="0"/>
      </w:pPr>
    </w:p>
    <w:p>
      <w:pPr>
        <w:spacing w:after="0"/>
        <w:ind w:left="2270"/>
      </w:pPr>
      <w:r>
        <w:rPr>
          <w:rFonts w:ascii="Calibri" w:cs="Calibri" w:eastAsia="Calibri" w:hAnsi="Calibri"/>
          <w:sz w:val="22"/>
          <w:szCs w:val="22"/>
        </w:rPr>
        <w:t xml:space="preserve">NACWO = Named Animal Care and Welfare Officer</w:t>
      </w:r>
    </w:p>
    <w:p>
      <w:pPr>
        <w:spacing w:after="200"/>
        <w:ind w:left="2270"/>
      </w:pPr>
      <w:r>
        <w:rPr>
          <w:rFonts w:ascii="Calibri" w:cs="Calibri" w:eastAsia="Calibri" w:hAnsi="Calibri"/>
          <w:sz w:val="22"/>
          <w:szCs w:val="22"/>
        </w:rPr>
        <w:t xml:space="preserve">NVS = Named Veterinary Surgeon</w:t>
      </w:r>
    </w:p>
    <w:p>
      <w:pPr>
        <w:spacing w:after="120"/>
        <w:ind w:left="850"/>
      </w:pPr>
      <w:r>
        <w:rPr>
          <w:rFonts w:ascii="Calibri" w:cs="Calibri" w:eastAsia="Calibri" w:hAnsi="Calibri"/>
          <w:sz w:val="22"/>
          <w:szCs w:val="22"/>
        </w:rPr>
        <w:t xml:space="preserve">Apologies were received from Andrew Cripps, Dr Juliet Dukes, Professor Richard Frazier, Nancy Mendoza</w:t>
      </w:r>
    </w:p>
    <w:p>
      <w:pPr>
        <w:keepNext/>
        <w:tabs>
          <w:tab w:val="left" w:pos="850"/>
        </w:tabs>
        <w:spacing w:after="120" w:before="360"/>
        <w:ind w:left="850" w:hanging="850"/>
      </w:pPr>
      <w:r>
        <w:rPr>
          <w:rFonts w:ascii="Calibri" w:cs="Calibri" w:eastAsia="Calibri" w:hAnsi="Calibri"/>
          <w:sz w:val="22"/>
          <w:szCs w:val="22"/>
        </w:rPr>
        <w:t xml:space="preserve">25/14	</w:t>
      </w:r>
      <w:r>
        <w:rPr>
          <w:rFonts w:ascii="Calibri" w:cs="Calibri" w:eastAsia="Calibri" w:hAnsi="Calibri"/>
          <w:sz w:val="22"/>
          <w:szCs w:val="22"/>
          <w:u w:val="single"/>
        </w:rPr>
        <w:t xml:space="preserve">Minutes of the last meeting</w:t>
      </w:r>
    </w:p>
    <w:p>
      <w:pPr>
        <w:spacing w:after="120"/>
        <w:ind w:left="850"/>
      </w:pPr>
      <w:r>
        <w:rPr>
          <w:rFonts w:ascii="Calibri" w:cs="Calibri" w:eastAsia="Calibri" w:hAnsi="Calibri"/>
          <w:sz w:val="22"/>
          <w:szCs w:val="22"/>
        </w:rPr>
        <w:t xml:space="preserve">The Minutes of the last meeting held on 3 February 2025 were approved as a correct record.</w:t>
      </w:r>
    </w:p>
    <w:p>
      <w:pPr>
        <w:keepNext/>
        <w:tabs>
          <w:tab w:val="left" w:pos="850"/>
        </w:tabs>
        <w:spacing w:after="120" w:before="360"/>
        <w:ind w:left="850" w:hanging="850"/>
      </w:pPr>
      <w:r>
        <w:rPr>
          <w:rFonts w:ascii="Calibri" w:cs="Calibri" w:eastAsia="Calibri" w:hAnsi="Calibri"/>
          <w:sz w:val="22"/>
          <w:szCs w:val="22"/>
        </w:rPr>
        <w:t xml:space="preserve">25/15	</w:t>
      </w:r>
      <w:r>
        <w:rPr>
          <w:rFonts w:ascii="Calibri" w:cs="Calibri" w:eastAsia="Calibri" w:hAnsi="Calibri"/>
          <w:sz w:val="22"/>
          <w:szCs w:val="22"/>
          <w:u w:val="single"/>
        </w:rPr>
        <w:t xml:space="preserve">Matters Arising</w:t>
      </w:r>
    </w:p>
    <w:p>
      <w:pPr>
        <w:keepNext/>
        <w:spacing w:after="0" w:before="120"/>
        <w:ind w:left="850"/>
      </w:pPr>
      <w:r>
        <w:rPr>
          <w:rFonts w:ascii="Calibri" w:cs="Calibri" w:eastAsia="Calibri" w:hAnsi="Calibri"/>
          <w:i/>
          <w:iCs/>
          <w:sz w:val="22"/>
          <w:szCs w:val="22"/>
        </w:rPr>
        <w:t xml:space="preserve">25/03 NC3Rs Self-Assessment Tool</w:t>
      </w:r>
    </w:p>
    <w:p>
      <w:pPr>
        <w:spacing w:after="120"/>
        <w:ind w:left="850"/>
      </w:pPr>
      <w:r>
        <w:rPr>
          <w:rFonts w:ascii="Calibri" w:cs="Calibri" w:eastAsia="Calibri" w:hAnsi="Calibri"/>
          <w:sz w:val="22"/>
          <w:szCs w:val="22"/>
        </w:rPr>
        <w:t xml:space="preserve">It was noted that the Head of Quality Assurance in Research and the Technical Manager in the BRU had offered up their time to help NC3Rs, but there was nothing further to report at this point.</w:t>
      </w:r>
    </w:p>
    <w:p>
      <w:pPr>
        <w:spacing w:after="120"/>
        <w:ind w:left="850"/>
      </w:pPr>
      <w:r>
        <w:rPr>
          <w:rFonts w:ascii="Calibri" w:cs="Calibri" w:eastAsia="Calibri" w:hAnsi="Calibri"/>
          <w:sz w:val="22"/>
          <w:szCs w:val="22"/>
        </w:rPr>
        <w:t xml:space="preserve">All matters arising were covered below.</w:t>
      </w:r>
    </w:p>
    <w:p>
      <w:pPr>
        <w:keepNext/>
        <w:tabs>
          <w:tab w:val="left" w:pos="850"/>
        </w:tabs>
        <w:spacing w:after="120" w:before="360"/>
        <w:ind w:left="850" w:hanging="850"/>
      </w:pPr>
      <w:r>
        <w:rPr>
          <w:rFonts w:ascii="Calibri" w:cs="Calibri" w:eastAsia="Calibri" w:hAnsi="Calibri"/>
          <w:sz w:val="22"/>
          <w:szCs w:val="22"/>
        </w:rPr>
        <w:t xml:space="preserve">25/16	</w:t>
      </w:r>
      <w:r>
        <w:rPr>
          <w:rFonts w:ascii="Calibri" w:cs="Calibri" w:eastAsia="Calibri" w:hAnsi="Calibri"/>
          <w:sz w:val="22"/>
          <w:szCs w:val="22"/>
          <w:u w:val="single"/>
        </w:rPr>
        <w:t xml:space="preserve">Project Licence Review</w:t>
      </w:r>
    </w:p>
    <w:p>
      <w:pPr>
        <w:spacing w:after="120"/>
        <w:ind w:left="850"/>
      </w:pPr>
      <w:r>
        <w:rPr>
          <w:rFonts w:ascii="Calibri" w:cs="Calibri" w:eastAsia="Calibri" w:hAnsi="Calibri"/>
          <w:sz w:val="22"/>
          <w:szCs w:val="22"/>
        </w:rPr>
        <w:t xml:space="preserve">The AWERB received the Project Licence Review from Professor Ketan Patel for the project - optimising skeletal muscle structure and function to withstand the challenges of damage and ageing.</w:t>
      </w:r>
    </w:p>
    <w:p>
      <w:pPr>
        <w:spacing w:after="120"/>
        <w:ind w:left="850"/>
      </w:pPr>
      <w:r>
        <w:rPr>
          <w:rFonts w:ascii="Calibri" w:cs="Calibri" w:eastAsia="Calibri" w:hAnsi="Calibri"/>
          <w:sz w:val="22"/>
          <w:szCs w:val="22"/>
        </w:rPr>
        <w:t xml:space="preserve">Professor Patel gave a presentation to the AWERB highlighting:</w:t>
      </w:r>
    </w:p>
    <w:p>
      <w:pPr>
        <w:pStyle w:val="ListParagraph"/>
        <w:numPr>
          <w:ilvl w:val="0"/>
          <w:numId w:val="2"/>
        </w:numPr>
        <w:spacing w:after="60"/>
      </w:pPr>
      <w:r>
        <w:rPr>
          <w:rFonts w:ascii="Calibri" w:cs="Calibri" w:eastAsia="Calibri" w:hAnsi="Calibri"/>
          <w:sz w:val="22"/>
          <w:szCs w:val="22"/>
        </w:rPr>
        <w:t xml:space="preserve">Objective 1 – characterise the physiology of muscle in new lines of genetically altered animals with a muscle phenotype</w:t>
      </w:r>
    </w:p>
    <w:p>
      <w:pPr>
        <w:pStyle w:val="ListParagraph"/>
        <w:numPr>
          <w:ilvl w:val="0"/>
          <w:numId w:val="2"/>
        </w:numPr>
        <w:spacing w:after="60"/>
      </w:pPr>
      <w:r>
        <w:rPr>
          <w:rFonts w:ascii="Calibri" w:cs="Calibri" w:eastAsia="Calibri" w:hAnsi="Calibri"/>
          <w:sz w:val="22"/>
          <w:szCs w:val="22"/>
        </w:rPr>
        <w:t xml:space="preserve">Objective 2 – Evaluate the efficacy of new therapeutic agents to improve muscle mass and function</w:t>
      </w:r>
    </w:p>
    <w:p>
      <w:pPr>
        <w:pStyle w:val="ListParagraph"/>
        <w:numPr>
          <w:ilvl w:val="0"/>
          <w:numId w:val="2"/>
        </w:numPr>
        <w:spacing w:after="60"/>
      </w:pPr>
      <w:r>
        <w:rPr>
          <w:rFonts w:ascii="Calibri" w:cs="Calibri" w:eastAsia="Calibri" w:hAnsi="Calibri"/>
          <w:sz w:val="22"/>
          <w:szCs w:val="22"/>
        </w:rPr>
        <w:t xml:space="preserve">Objective 3 – to determine whether agents aimed at promoting muscle regeneration were able to induce normal regeneration in models of muscle atrophy and degeneration and whether these processes can be modulated using new therapeutic agents to improve muscles mass and function</w:t>
      </w:r>
    </w:p>
    <w:p>
      <w:pPr>
        <w:pStyle w:val="ListParagraph"/>
        <w:numPr>
          <w:ilvl w:val="0"/>
          <w:numId w:val="2"/>
        </w:numPr>
        <w:spacing w:after="60"/>
      </w:pPr>
      <w:r>
        <w:rPr>
          <w:rFonts w:ascii="Calibri" w:cs="Calibri" w:eastAsia="Calibri" w:hAnsi="Calibri"/>
          <w:sz w:val="22"/>
          <w:szCs w:val="22"/>
        </w:rPr>
        <w:t xml:space="preserve">Objective 4 – Elautate the impact of dietary modification on the progression of muscle wasting and whether this process can be modulated using new therapeutic agents to improve muscle mass and function</w:t>
      </w:r>
    </w:p>
    <w:p>
      <w:pPr>
        <w:pStyle w:val="ListParagraph"/>
        <w:numPr>
          <w:ilvl w:val="0"/>
          <w:numId w:val="2"/>
        </w:numPr>
        <w:spacing w:after="60"/>
      </w:pPr>
      <w:r>
        <w:rPr>
          <w:rFonts w:ascii="Calibri" w:cs="Calibri" w:eastAsia="Calibri" w:hAnsi="Calibri"/>
          <w:sz w:val="22"/>
          <w:szCs w:val="22"/>
        </w:rPr>
        <w:t xml:space="preserve">There were four protocols being used:</w:t>
      </w:r>
    </w:p>
    <w:p>
      <w:pPr>
        <w:pStyle w:val="ListParagraph"/>
        <w:numPr>
          <w:ilvl w:val="1"/>
          <w:numId w:val="2"/>
        </w:numPr>
        <w:spacing w:after="60"/>
      </w:pPr>
      <w:r>
        <w:rPr>
          <w:rFonts w:ascii="Calibri" w:cs="Calibri" w:eastAsia="Calibri" w:hAnsi="Calibri"/>
          <w:sz w:val="22"/>
          <w:szCs w:val="22"/>
        </w:rPr>
        <w:t xml:space="preserve">Breeding and maintenance of genetically-modified rodents</w:t>
      </w:r>
    </w:p>
    <w:p>
      <w:pPr>
        <w:pStyle w:val="ListParagraph"/>
        <w:numPr>
          <w:ilvl w:val="1"/>
          <w:numId w:val="2"/>
        </w:numPr>
        <w:spacing w:after="60"/>
      </w:pPr>
      <w:r>
        <w:rPr>
          <w:rFonts w:ascii="Calibri" w:cs="Calibri" w:eastAsia="Calibri" w:hAnsi="Calibri"/>
          <w:sz w:val="22"/>
          <w:szCs w:val="22"/>
        </w:rPr>
        <w:t xml:space="preserve">Delivery of gene, cell or pharmaceutical reagents</w:t>
      </w:r>
    </w:p>
    <w:p>
      <w:pPr>
        <w:pStyle w:val="ListParagraph"/>
        <w:numPr>
          <w:ilvl w:val="1"/>
          <w:numId w:val="2"/>
        </w:numPr>
        <w:spacing w:after="60"/>
      </w:pPr>
      <w:r>
        <w:rPr>
          <w:rFonts w:ascii="Calibri" w:cs="Calibri" w:eastAsia="Calibri" w:hAnsi="Calibri"/>
          <w:sz w:val="22"/>
          <w:szCs w:val="22"/>
        </w:rPr>
        <w:t xml:space="preserve">Muscle atrophy and regeneration</w:t>
      </w:r>
    </w:p>
    <w:p>
      <w:pPr>
        <w:pStyle w:val="ListParagraph"/>
        <w:numPr>
          <w:ilvl w:val="1"/>
          <w:numId w:val="2"/>
        </w:numPr>
        <w:spacing w:after="60"/>
      </w:pPr>
      <w:r>
        <w:rPr>
          <w:rFonts w:ascii="Calibri" w:cs="Calibri" w:eastAsia="Calibri" w:hAnsi="Calibri"/>
          <w:sz w:val="22"/>
          <w:szCs w:val="22"/>
        </w:rPr>
        <w:t xml:space="preserve">Dietary modification</w:t>
      </w:r>
    </w:p>
    <w:p>
      <w:pPr>
        <w:pStyle w:val="ListParagraph"/>
        <w:numPr>
          <w:ilvl w:val="0"/>
          <w:numId w:val="2"/>
        </w:numPr>
        <w:spacing w:after="60"/>
      </w:pPr>
      <w:r>
        <w:rPr>
          <w:rFonts w:ascii="Calibri" w:cs="Calibri" w:eastAsia="Calibri" w:hAnsi="Calibri"/>
          <w:sz w:val="22"/>
          <w:szCs w:val="22"/>
        </w:rPr>
        <w:t xml:space="preserve">For 3Rs replacement the studies had used 3D fibre assays on the Cuore Platform. This had advantages: no use of animals; used human iPS cells; generated muscle fibre like structures; fibres contained non-myogenic cells found in muscles; allowed physiological measures over day; higher throughput</w:t>
      </w:r>
    </w:p>
    <w:p>
      <w:pPr>
        <w:spacing w:after="120" w:before="120"/>
        <w:ind w:left="850"/>
      </w:pPr>
      <w:r>
        <w:rPr>
          <w:rFonts w:ascii="Calibri" w:cs="Calibri" w:eastAsia="Calibri" w:hAnsi="Calibri"/>
          <w:sz w:val="22"/>
          <w:szCs w:val="22"/>
        </w:rPr>
        <w:t xml:space="preserve">The AWERB thanked Professor Patel for the presentation. In response to a number of questions on the 3Rs it was noted that:</w:t>
      </w:r>
    </w:p>
    <w:p>
      <w:pPr>
        <w:pStyle w:val="ListParagraph"/>
        <w:numPr>
          <w:ilvl w:val="0"/>
          <w:numId w:val="2"/>
        </w:numPr>
        <w:spacing w:after="60"/>
      </w:pPr>
      <w:r>
        <w:rPr>
          <w:rFonts w:ascii="Calibri" w:cs="Calibri" w:eastAsia="Calibri" w:hAnsi="Calibri"/>
          <w:sz w:val="22"/>
          <w:szCs w:val="22"/>
        </w:rPr>
        <w:t xml:space="preserve">it was intended to reduce the number of animals from original intentions by a third to a half</w:t>
      </w:r>
    </w:p>
    <w:p>
      <w:pPr>
        <w:pStyle w:val="ListParagraph"/>
        <w:numPr>
          <w:ilvl w:val="0"/>
          <w:numId w:val="2"/>
        </w:numPr>
        <w:spacing w:after="60"/>
      </w:pPr>
      <w:r>
        <w:rPr>
          <w:rFonts w:ascii="Calibri" w:cs="Calibri" w:eastAsia="Calibri" w:hAnsi="Calibri"/>
          <w:sz w:val="22"/>
          <w:szCs w:val="22"/>
        </w:rPr>
        <w:t xml:space="preserve">the model used allowed more data to be extracted from sample tissues as the protocols used were more sensitive</w:t>
      </w:r>
    </w:p>
    <w:p>
      <w:pPr>
        <w:pStyle w:val="ListParagraph"/>
        <w:numPr>
          <w:ilvl w:val="0"/>
          <w:numId w:val="2"/>
        </w:numPr>
        <w:spacing w:after="60"/>
      </w:pPr>
      <w:r>
        <w:rPr>
          <w:rFonts w:ascii="Calibri" w:cs="Calibri" w:eastAsia="Calibri" w:hAnsi="Calibri"/>
          <w:sz w:val="22"/>
          <w:szCs w:val="22"/>
        </w:rPr>
        <w:t xml:space="preserve">using better and more robust pre-clinical models allowed more accurate dosing</w:t>
      </w:r>
    </w:p>
    <w:p>
      <w:pPr>
        <w:spacing w:after="120" w:before="120"/>
        <w:ind w:left="850"/>
      </w:pPr>
      <w:r>
        <w:rPr>
          <w:rFonts w:ascii="Calibri" w:cs="Calibri" w:eastAsia="Calibri" w:hAnsi="Calibri"/>
          <w:sz w:val="22"/>
          <w:szCs w:val="22"/>
        </w:rPr>
        <w:t xml:space="preserve">The AWERB noted that further project work was contingent on funding.</w:t>
      </w:r>
    </w:p>
    <w:p>
      <w:pPr>
        <w:spacing w:after="0"/>
        <w:ind w:left="850"/>
      </w:pPr>
      <w:r>
        <w:rPr>
          <w:rFonts w:ascii="Calibri" w:cs="Calibri" w:eastAsia="Calibri" w:hAnsi="Calibri"/>
          <w:sz w:val="22"/>
          <w:szCs w:val="22"/>
        </w:rPr>
        <w:t xml:space="preserve">It was agreed that the Cuore Platform would be a good topic for the 3Rs seminars.</w:t>
      </w:r>
    </w:p>
    <w:p>
      <w:pPr>
        <w:spacing w:after="120"/>
        <w:jc w:val="right"/>
      </w:pPr>
      <w:r>
        <w:rPr>
          <w:rFonts w:ascii="Calibri" w:cs="Calibri" w:eastAsia="Calibri" w:hAnsi="Calibri"/>
          <w:b/>
          <w:bCs/>
          <w:sz w:val="22"/>
          <w:szCs w:val="22"/>
        </w:rPr>
        <w:t xml:space="preserve">Action: Head of QAR</w:t>
      </w:r>
    </w:p>
    <w:p>
      <w:pPr>
        <w:keepNext/>
        <w:tabs>
          <w:tab w:val="left" w:pos="850"/>
        </w:tabs>
        <w:spacing w:after="120" w:before="360"/>
        <w:ind w:left="850" w:hanging="850"/>
      </w:pPr>
      <w:r>
        <w:rPr>
          <w:rFonts w:ascii="Calibri" w:cs="Calibri" w:eastAsia="Calibri" w:hAnsi="Calibri"/>
          <w:sz w:val="22"/>
          <w:szCs w:val="22"/>
        </w:rPr>
        <w:t xml:space="preserve">25/17	</w:t>
      </w:r>
      <w:r>
        <w:rPr>
          <w:rFonts w:ascii="Calibri" w:cs="Calibri" w:eastAsia="Calibri" w:hAnsi="Calibri"/>
          <w:sz w:val="22"/>
          <w:szCs w:val="22"/>
          <w:u w:val="single"/>
        </w:rPr>
        <w:t xml:space="preserve">Project Licence Review</w:t>
      </w:r>
    </w:p>
    <w:p>
      <w:pPr>
        <w:spacing w:after="120"/>
        <w:ind w:left="850"/>
      </w:pPr>
      <w:r>
        <w:rPr>
          <w:rFonts w:ascii="Calibri" w:cs="Calibri" w:eastAsia="Calibri" w:hAnsi="Calibri"/>
          <w:sz w:val="22"/>
          <w:szCs w:val="22"/>
        </w:rPr>
        <w:t xml:space="preserve">The AWERB received the Project Licence Review from Dr Marie Lewis for the project – Modifying the early gut microbiota to reduce the risk of developing immune-associated disease in later life.</w:t>
      </w:r>
    </w:p>
    <w:p>
      <w:pPr>
        <w:spacing w:after="120"/>
        <w:ind w:left="850"/>
      </w:pPr>
      <w:r>
        <w:rPr>
          <w:rFonts w:ascii="Calibri" w:cs="Calibri" w:eastAsia="Calibri" w:hAnsi="Calibri"/>
          <w:sz w:val="22"/>
          <w:szCs w:val="22"/>
        </w:rPr>
        <w:t xml:space="preserve">Dr Lewis gave a presentation to the AWERB highlighting:</w:t>
      </w:r>
    </w:p>
    <w:p>
      <w:pPr>
        <w:pStyle w:val="ListParagraph"/>
        <w:numPr>
          <w:ilvl w:val="0"/>
          <w:numId w:val="2"/>
        </w:numPr>
        <w:spacing w:after="60"/>
      </w:pPr>
      <w:r>
        <w:rPr>
          <w:rFonts w:ascii="Calibri" w:cs="Calibri" w:eastAsia="Calibri" w:hAnsi="Calibri"/>
          <w:sz w:val="22"/>
          <w:szCs w:val="22"/>
        </w:rPr>
        <w:t xml:space="preserve">Objective 1 – To explore whether increased dietary protein reduced intestinal barrier function (complete)</w:t>
      </w:r>
    </w:p>
    <w:p>
      <w:pPr>
        <w:pStyle w:val="ListParagraph"/>
        <w:numPr>
          <w:ilvl w:val="0"/>
          <w:numId w:val="2"/>
        </w:numPr>
        <w:spacing w:after="60"/>
      </w:pPr>
      <w:r>
        <w:rPr>
          <w:rFonts w:ascii="Calibri" w:cs="Calibri" w:eastAsia="Calibri" w:hAnsi="Calibri"/>
          <w:sz w:val="22"/>
          <w:szCs w:val="22"/>
        </w:rPr>
        <w:t xml:space="preserve">Objective 2 – To determine if the above (objective 1) occurs in a sex dependent manner (complete)</w:t>
      </w:r>
    </w:p>
    <w:p>
      <w:pPr>
        <w:pStyle w:val="ListParagraph"/>
        <w:numPr>
          <w:ilvl w:val="0"/>
          <w:numId w:val="2"/>
        </w:numPr>
        <w:spacing w:after="60"/>
      </w:pPr>
      <w:r>
        <w:rPr>
          <w:rFonts w:ascii="Calibri" w:cs="Calibri" w:eastAsia="Calibri" w:hAnsi="Calibri"/>
          <w:sz w:val="22"/>
          <w:szCs w:val="22"/>
        </w:rPr>
        <w:t xml:space="preserve">Objective 3 – To explore whether specific pre-and/or probiotic combinations have the capacity to increase intestinal biotic integrity in the presence of increased dietary proteins in a sex-dependent manner (in progress)</w:t>
      </w:r>
    </w:p>
    <w:p>
      <w:pPr>
        <w:pStyle w:val="ListParagraph"/>
        <w:numPr>
          <w:ilvl w:val="0"/>
          <w:numId w:val="2"/>
        </w:numPr>
        <w:spacing w:after="60"/>
      </w:pPr>
      <w:r>
        <w:rPr>
          <w:rFonts w:ascii="Calibri" w:cs="Calibri" w:eastAsia="Calibri" w:hAnsi="Calibri"/>
          <w:sz w:val="22"/>
          <w:szCs w:val="22"/>
        </w:rPr>
        <w:t xml:space="preserve">Objective 4 – To determine if specific pre- and/or probiotic interventions in very early life are able to educate mammalian immune systems to generate tolerance to microbially-derived insulin mimics (in progress)</w:t>
      </w:r>
    </w:p>
    <w:p>
      <w:pPr>
        <w:spacing w:after="120" w:before="120"/>
        <w:ind w:left="850"/>
      </w:pPr>
      <w:r>
        <w:rPr>
          <w:rFonts w:ascii="Calibri" w:cs="Calibri" w:eastAsia="Calibri" w:hAnsi="Calibri"/>
          <w:sz w:val="22"/>
          <w:szCs w:val="22"/>
        </w:rPr>
        <w:t xml:space="preserve">The AWERB thanked Dr Lewis for the presentation. In response to a number of questions on the 3Rs it was noted that:</w:t>
      </w:r>
    </w:p>
    <w:p>
      <w:pPr>
        <w:pStyle w:val="ListParagraph"/>
        <w:numPr>
          <w:ilvl w:val="0"/>
          <w:numId w:val="2"/>
        </w:numPr>
        <w:spacing w:after="60"/>
      </w:pPr>
      <w:r>
        <w:rPr>
          <w:rFonts w:ascii="Calibri" w:cs="Calibri" w:eastAsia="Calibri" w:hAnsi="Calibri"/>
          <w:sz w:val="22"/>
          <w:szCs w:val="22"/>
        </w:rPr>
        <w:t xml:space="preserve">Due to their size piglets were sedated before euthanasia</w:t>
      </w:r>
    </w:p>
    <w:p>
      <w:pPr>
        <w:pStyle w:val="ListParagraph"/>
        <w:numPr>
          <w:ilvl w:val="0"/>
          <w:numId w:val="2"/>
        </w:numPr>
        <w:spacing w:after="60"/>
      </w:pPr>
      <w:r>
        <w:rPr>
          <w:rFonts w:ascii="Calibri" w:cs="Calibri" w:eastAsia="Calibri" w:hAnsi="Calibri"/>
          <w:sz w:val="22"/>
          <w:szCs w:val="22"/>
        </w:rPr>
        <w:t xml:space="preserve">The numbers quoted in the licence were 200, but numbers were likely to be closer to 60. The figure of 200 gave some leeway over the six-year project for a number of studies and PhD students</w:t>
      </w:r>
    </w:p>
    <w:p>
      <w:pPr>
        <w:pStyle w:val="ListParagraph"/>
        <w:numPr>
          <w:ilvl w:val="0"/>
          <w:numId w:val="2"/>
        </w:numPr>
        <w:spacing w:after="60"/>
      </w:pPr>
      <w:r>
        <w:rPr>
          <w:rFonts w:ascii="Calibri" w:cs="Calibri" w:eastAsia="Calibri" w:hAnsi="Calibri"/>
          <w:sz w:val="22"/>
          <w:szCs w:val="22"/>
        </w:rPr>
        <w:t xml:space="preserve">Power calculations had shown that larger numbers of animals were not needed, particularly with genetically balanced groups</w:t>
      </w:r>
    </w:p>
    <w:p>
      <w:pPr>
        <w:pStyle w:val="ListParagraph"/>
        <w:numPr>
          <w:ilvl w:val="0"/>
          <w:numId w:val="2"/>
        </w:numPr>
        <w:spacing w:after="60"/>
      </w:pPr>
      <w:r>
        <w:rPr>
          <w:rFonts w:ascii="Calibri" w:cs="Calibri" w:eastAsia="Calibri" w:hAnsi="Calibri"/>
          <w:sz w:val="22"/>
          <w:szCs w:val="22"/>
        </w:rPr>
        <w:t xml:space="preserve">All animals were euthanised at the end of the study - all tissue was sampled and made available for studies at other institutions</w:t>
      </w:r>
    </w:p>
    <w:p>
      <w:pPr>
        <w:spacing w:after="120" w:before="240"/>
        <w:ind w:left="850"/>
      </w:pPr>
      <w:r>
        <w:rPr>
          <w:rFonts w:ascii="Calibri" w:cs="Calibri" w:eastAsia="Calibri" w:hAnsi="Calibri"/>
          <w:sz w:val="22"/>
          <w:szCs w:val="22"/>
        </w:rPr>
        <w:t xml:space="preserve">The AWERB agreed that for future mid-term reviews it would be helpful to focus the presentations on:</w:t>
      </w:r>
    </w:p>
    <w:p>
      <w:pPr>
        <w:pStyle w:val="ListParagraph"/>
        <w:numPr>
          <w:ilvl w:val="0"/>
          <w:numId w:val="2"/>
        </w:numPr>
        <w:spacing w:after="60"/>
      </w:pPr>
      <w:r>
        <w:rPr>
          <w:rFonts w:ascii="Calibri" w:cs="Calibri" w:eastAsia="Calibri" w:hAnsi="Calibri"/>
          <w:sz w:val="22"/>
          <w:szCs w:val="22"/>
        </w:rPr>
        <w:t xml:space="preserve">the 3Rs, animal numbers, any amendments</w:t>
      </w:r>
    </w:p>
    <w:p>
      <w:pPr>
        <w:pStyle w:val="ListParagraph"/>
        <w:numPr>
          <w:ilvl w:val="0"/>
          <w:numId w:val="2"/>
        </w:numPr>
        <w:spacing w:after="60"/>
      </w:pPr>
      <w:r>
        <w:rPr>
          <w:rFonts w:ascii="Calibri" w:cs="Calibri" w:eastAsia="Calibri" w:hAnsi="Calibri"/>
          <w:sz w:val="22"/>
          <w:szCs w:val="22"/>
        </w:rPr>
        <w:t xml:space="preserve">to include more of a narrative</w:t>
      </w:r>
    </w:p>
    <w:p>
      <w:pPr>
        <w:pStyle w:val="ListParagraph"/>
        <w:numPr>
          <w:ilvl w:val="0"/>
          <w:numId w:val="2"/>
        </w:numPr>
        <w:spacing w:after="60"/>
      </w:pPr>
      <w:r>
        <w:rPr>
          <w:rFonts w:ascii="Calibri" w:cs="Calibri" w:eastAsia="Calibri" w:hAnsi="Calibri"/>
          <w:sz w:val="22"/>
          <w:szCs w:val="22"/>
        </w:rPr>
        <w:t xml:space="preserve">identifying where issues had arisen</w:t>
      </w:r>
    </w:p>
    <w:p>
      <w:pPr>
        <w:pStyle w:val="ListParagraph"/>
        <w:numPr>
          <w:ilvl w:val="0"/>
          <w:numId w:val="2"/>
        </w:numPr>
        <w:spacing w:after="60"/>
      </w:pPr>
      <w:r>
        <w:rPr>
          <w:rFonts w:ascii="Calibri" w:cs="Calibri" w:eastAsia="Calibri" w:hAnsi="Calibri"/>
          <w:sz w:val="22"/>
          <w:szCs w:val="22"/>
        </w:rPr>
        <w:t xml:space="preserve">whether there had been any interaction with the Home Office</w:t>
      </w:r>
    </w:p>
    <w:p>
      <w:pPr>
        <w:pStyle w:val="ListParagraph"/>
        <w:numPr>
          <w:ilvl w:val="0"/>
          <w:numId w:val="2"/>
        </w:numPr>
        <w:spacing w:after="60"/>
      </w:pPr>
      <w:r>
        <w:rPr>
          <w:rFonts w:ascii="Calibri" w:cs="Calibri" w:eastAsia="Calibri" w:hAnsi="Calibri"/>
          <w:sz w:val="22"/>
          <w:szCs w:val="22"/>
        </w:rPr>
        <w:t xml:space="preserve">any lessons learnt</w:t>
      </w:r>
    </w:p>
    <w:p>
      <w:pPr>
        <w:pStyle w:val="ListParagraph"/>
        <w:numPr>
          <w:ilvl w:val="0"/>
          <w:numId w:val="2"/>
        </w:numPr>
        <w:spacing w:after="60"/>
      </w:pPr>
      <w:r>
        <w:rPr>
          <w:rFonts w:ascii="Calibri" w:cs="Calibri" w:eastAsia="Calibri" w:hAnsi="Calibri"/>
          <w:sz w:val="22"/>
          <w:szCs w:val="22"/>
        </w:rPr>
        <w:t xml:space="preserve">how was funding progressing</w:t>
      </w:r>
    </w:p>
    <w:p>
      <w:pPr>
        <w:spacing w:after="120"/>
        <w:jc w:val="right"/>
      </w:pPr>
      <w:r>
        <w:rPr>
          <w:rFonts w:ascii="Calibri" w:cs="Calibri" w:eastAsia="Calibri" w:hAnsi="Calibri"/>
          <w:b/>
          <w:bCs/>
          <w:sz w:val="22"/>
          <w:szCs w:val="22"/>
        </w:rPr>
        <w:t xml:space="preserve">Action: Head QAR</w:t>
      </w:r>
    </w:p>
    <w:p>
      <w:pPr>
        <w:keepNext/>
        <w:tabs>
          <w:tab w:val="left" w:pos="850"/>
        </w:tabs>
        <w:spacing w:after="120" w:before="360"/>
        <w:ind w:left="850" w:hanging="850"/>
      </w:pPr>
      <w:r>
        <w:rPr>
          <w:rFonts w:ascii="Calibri" w:cs="Calibri" w:eastAsia="Calibri" w:hAnsi="Calibri"/>
          <w:sz w:val="22"/>
          <w:szCs w:val="22"/>
        </w:rPr>
        <w:t xml:space="preserve">25/18	</w:t>
      </w:r>
      <w:r>
        <w:rPr>
          <w:rFonts w:ascii="Calibri" w:cs="Calibri" w:eastAsia="Calibri" w:hAnsi="Calibri"/>
          <w:sz w:val="22"/>
          <w:szCs w:val="22"/>
          <w:u w:val="single"/>
        </w:rPr>
        <w:t xml:space="preserve">PEL Conditions Work Plan</w:t>
      </w:r>
    </w:p>
    <w:p>
      <w:pPr>
        <w:spacing w:after="120"/>
        <w:ind w:left="850"/>
      </w:pPr>
      <w:r>
        <w:rPr>
          <w:rFonts w:ascii="Calibri" w:cs="Calibri" w:eastAsia="Calibri" w:hAnsi="Calibri"/>
          <w:sz w:val="22"/>
          <w:szCs w:val="22"/>
        </w:rPr>
        <w:t xml:space="preserve">It was noted that since the last meeting work had continued. The work plan was up to date, with a focus on addressing those activities categorised as amber; there was nothing categorised as red.</w:t>
      </w:r>
    </w:p>
    <w:p>
      <w:pPr>
        <w:spacing w:after="120"/>
        <w:ind w:left="850"/>
      </w:pPr>
      <w:r>
        <w:rPr>
          <w:rFonts w:ascii="Calibri" w:cs="Calibri" w:eastAsia="Calibri" w:hAnsi="Calibri"/>
          <w:sz w:val="22"/>
          <w:szCs w:val="22"/>
        </w:rPr>
        <w:t xml:space="preserve">It was agreed that in future the plan would be brought forward annually (February) with verbal updates at the May and September meetings.</w:t>
      </w:r>
    </w:p>
    <w:p>
      <w:pPr>
        <w:keepNext/>
        <w:tabs>
          <w:tab w:val="left" w:pos="850"/>
        </w:tabs>
        <w:spacing w:after="120" w:before="360"/>
        <w:ind w:left="850" w:hanging="850"/>
      </w:pPr>
      <w:r>
        <w:rPr>
          <w:rFonts w:ascii="Calibri" w:cs="Calibri" w:eastAsia="Calibri" w:hAnsi="Calibri"/>
          <w:sz w:val="22"/>
          <w:szCs w:val="22"/>
        </w:rPr>
        <w:t xml:space="preserve">25/19	</w:t>
      </w:r>
      <w:r>
        <w:rPr>
          <w:rFonts w:ascii="Calibri" w:cs="Calibri" w:eastAsia="Calibri" w:hAnsi="Calibri"/>
          <w:sz w:val="22"/>
          <w:szCs w:val="22"/>
          <w:u w:val="single"/>
        </w:rPr>
        <w:t xml:space="preserve">3Rs Update</w:t>
      </w:r>
    </w:p>
    <w:p>
      <w:pPr>
        <w:spacing w:after="120"/>
        <w:ind w:left="850"/>
      </w:pPr>
      <w:r>
        <w:rPr>
          <w:rFonts w:ascii="Calibri" w:cs="Calibri" w:eastAsia="Calibri" w:hAnsi="Calibri"/>
          <w:sz w:val="22"/>
          <w:szCs w:val="22"/>
        </w:rPr>
        <w:t xml:space="preserve">The AWERB received an update on the work of the 3Rs group. As part of the task of reviewing and ensuring compliance with the Standard Conditions of the Establishment Licence was the work to ensure promotion and adoption of the 3Rs ‘best practices’.</w:t>
      </w:r>
    </w:p>
    <w:p>
      <w:pPr>
        <w:spacing w:after="120"/>
        <w:ind w:left="850"/>
      </w:pPr>
      <w:r>
        <w:rPr>
          <w:rFonts w:ascii="Calibri" w:cs="Calibri" w:eastAsia="Calibri" w:hAnsi="Calibri"/>
          <w:sz w:val="22"/>
          <w:szCs w:val="22"/>
        </w:rPr>
        <w:t xml:space="preserve">It was noted that the following activity had taken place since the last meeting:</w:t>
      </w:r>
    </w:p>
    <w:p>
      <w:pPr>
        <w:pStyle w:val="ListParagraph"/>
        <w:numPr>
          <w:ilvl w:val="0"/>
          <w:numId w:val="2"/>
        </w:numPr>
        <w:spacing w:after="60"/>
      </w:pPr>
      <w:r>
        <w:rPr>
          <w:rFonts w:ascii="Calibri" w:cs="Calibri" w:eastAsia="Calibri" w:hAnsi="Calibri"/>
          <w:sz w:val="22"/>
          <w:szCs w:val="22"/>
        </w:rPr>
        <w:t xml:space="preserve">AWERB induction – an induction document had been developed that would be sent out to new AWWERB members</w:t>
      </w:r>
    </w:p>
    <w:p>
      <w:pPr>
        <w:spacing w:after="0"/>
        <w:ind w:left="1210"/>
      </w:pPr>
      <w:r>
        <w:rPr>
          <w:rFonts w:ascii="Calibri" w:cs="Calibri" w:eastAsia="Calibri" w:hAnsi="Calibri"/>
          <w:sz w:val="22"/>
          <w:szCs w:val="22"/>
        </w:rPr>
        <w:t xml:space="preserve">It was agreed that the document would be held on the AWERB Teams site. It was suggested that the document should indicate for each role holder what they were expected to advise on.</w:t>
      </w:r>
    </w:p>
    <w:p>
      <w:pPr>
        <w:spacing w:after="120"/>
        <w:jc w:val="right"/>
      </w:pPr>
      <w:r>
        <w:rPr>
          <w:rFonts w:ascii="Calibri" w:cs="Calibri" w:eastAsia="Calibri" w:hAnsi="Calibri"/>
          <w:b/>
          <w:bCs/>
          <w:sz w:val="22"/>
          <w:szCs w:val="22"/>
        </w:rPr>
        <w:t xml:space="preserve">Action: Head QAR</w:t>
      </w:r>
    </w:p>
    <w:p>
      <w:pPr>
        <w:pStyle w:val="ListParagraph"/>
        <w:numPr>
          <w:ilvl w:val="0"/>
          <w:numId w:val="2"/>
        </w:numPr>
        <w:spacing w:after="60"/>
      </w:pPr>
      <w:r>
        <w:rPr>
          <w:rFonts w:ascii="Calibri" w:cs="Calibri" w:eastAsia="Calibri" w:hAnsi="Calibri"/>
          <w:sz w:val="22"/>
          <w:szCs w:val="22"/>
        </w:rPr>
        <w:t xml:space="preserve">Names Persons Assessments - In accordance with PEL Conditions 15 and 16 Performance of Named Persons, the AWERB received assessment criteria which had been developed by ASRU for assessing the effectiveness of named persons (NACWOs, NIOs, NTCOs, NVSs, PEL). Members of the AWERB were asked to forward any comments on the documents to the Head of QAR. The group had agreed that it would send the ‘Named Person Assessments’ out and ask for them to be returned to the Head of QAR for review. Any comments which might need to be addressed will be flagged the PEL holder.</w:t>
      </w:r>
    </w:p>
    <w:p>
      <w:pPr>
        <w:pStyle w:val="ListParagraph"/>
        <w:numPr>
          <w:ilvl w:val="0"/>
          <w:numId w:val="2"/>
        </w:numPr>
        <w:spacing w:after="60"/>
      </w:pPr>
      <w:r>
        <w:rPr>
          <w:rFonts w:ascii="Calibri" w:cs="Calibri" w:eastAsia="Calibri" w:hAnsi="Calibri"/>
          <w:sz w:val="22"/>
          <w:szCs w:val="22"/>
        </w:rPr>
        <w:t xml:space="preserve">Impact/evaluation - The 3Rs committee wanted to assess the impact of the seminars/3Rs activities by locally emailing the Project licence holders asking about the relevance of the talks and suggestions of other talks/ areas of help our PIL/PPL holders would like to be covered.</w:t>
      </w:r>
    </w:p>
    <w:p>
      <w:pPr>
        <w:pStyle w:val="ListParagraph"/>
        <w:numPr>
          <w:ilvl w:val="0"/>
          <w:numId w:val="2"/>
        </w:numPr>
        <w:spacing w:after="60"/>
      </w:pPr>
      <w:r>
        <w:rPr>
          <w:rFonts w:ascii="Calibri" w:cs="Calibri" w:eastAsia="Calibri" w:hAnsi="Calibri"/>
          <w:sz w:val="22"/>
          <w:szCs w:val="22"/>
        </w:rPr>
        <w:t xml:space="preserve">3Rs seminar series</w:t>
      </w:r>
    </w:p>
    <w:p>
      <w:pPr>
        <w:keepNext/>
        <w:tabs>
          <w:tab w:val="left" w:pos="850"/>
        </w:tabs>
        <w:spacing w:after="120" w:before="360"/>
        <w:ind w:left="850" w:hanging="850"/>
      </w:pPr>
      <w:r>
        <w:rPr>
          <w:rFonts w:ascii="Calibri" w:cs="Calibri" w:eastAsia="Calibri" w:hAnsi="Calibri"/>
          <w:sz w:val="22"/>
          <w:szCs w:val="22"/>
        </w:rPr>
        <w:t xml:space="preserve">25/20	</w:t>
      </w:r>
      <w:r>
        <w:rPr>
          <w:rFonts w:ascii="Calibri" w:cs="Calibri" w:eastAsia="Calibri" w:hAnsi="Calibri"/>
          <w:sz w:val="22"/>
          <w:szCs w:val="22"/>
          <w:u w:val="single"/>
        </w:rPr>
        <w:t xml:space="preserve">ASRU Annual Returns</w:t>
      </w:r>
    </w:p>
    <w:p>
      <w:pPr>
        <w:spacing w:after="120"/>
        <w:ind w:left="850"/>
      </w:pPr>
      <w:r>
        <w:rPr>
          <w:rFonts w:ascii="Calibri" w:cs="Calibri" w:eastAsia="Calibri" w:hAnsi="Calibri"/>
          <w:sz w:val="22"/>
          <w:szCs w:val="22"/>
        </w:rPr>
        <w:t xml:space="preserve">The AWERB received a paper setting out the Annual Returns by PPLh via ASPEL.</w:t>
      </w:r>
    </w:p>
    <w:p>
      <w:pPr>
        <w:spacing w:after="120"/>
        <w:ind w:left="850"/>
      </w:pPr>
      <w:r>
        <w:rPr>
          <w:rFonts w:ascii="Calibri" w:cs="Calibri" w:eastAsia="Calibri" w:hAnsi="Calibri"/>
          <w:sz w:val="22"/>
          <w:szCs w:val="22"/>
        </w:rPr>
        <w:t xml:space="preserve">It was noted that by 31 January 2025 a total of 17 returns had been made (12 active 5 inactive).</w:t>
      </w:r>
    </w:p>
    <w:p>
      <w:pPr>
        <w:spacing w:after="120"/>
        <w:ind w:left="850"/>
      </w:pPr>
      <w:r>
        <w:rPr>
          <w:rFonts w:ascii="Calibri" w:cs="Calibri" w:eastAsia="Calibri" w:hAnsi="Calibri"/>
          <w:sz w:val="22"/>
          <w:szCs w:val="22"/>
        </w:rPr>
        <w:t xml:space="preserve">The AWERB agreed that it would be helpful to include a short commentary around severity, and whether it was within what was expected/whether all was within expected severity limits except Schedule 18.</w:t>
      </w:r>
    </w:p>
    <w:p>
      <w:pPr>
        <w:spacing w:after="120"/>
        <w:ind w:left="850"/>
      </w:pPr>
      <w:r>
        <w:rPr>
          <w:rFonts w:ascii="Calibri" w:cs="Calibri" w:eastAsia="Calibri" w:hAnsi="Calibri"/>
          <w:sz w:val="22"/>
          <w:szCs w:val="22"/>
        </w:rPr>
        <w:t xml:space="preserve">A member of AWERB queried whether the University should expect to see a higher number of licences/activities given its facilities.</w:t>
      </w:r>
    </w:p>
    <w:p>
      <w:pPr>
        <w:keepNext/>
        <w:tabs>
          <w:tab w:val="left" w:pos="850"/>
        </w:tabs>
        <w:spacing w:after="120" w:before="360"/>
        <w:ind w:left="850" w:hanging="850"/>
      </w:pPr>
      <w:r>
        <w:rPr>
          <w:rFonts w:ascii="Calibri" w:cs="Calibri" w:eastAsia="Calibri" w:hAnsi="Calibri"/>
          <w:sz w:val="22"/>
          <w:szCs w:val="22"/>
        </w:rPr>
        <w:t xml:space="preserve">25/21	</w:t>
      </w:r>
      <w:r>
        <w:rPr>
          <w:rFonts w:ascii="Calibri" w:cs="Calibri" w:eastAsia="Calibri" w:hAnsi="Calibri"/>
          <w:sz w:val="22"/>
          <w:szCs w:val="22"/>
          <w:u w:val="single"/>
        </w:rPr>
        <w:t xml:space="preserve">Report from BRU as relevant</w:t>
      </w:r>
    </w:p>
    <w:p>
      <w:pPr>
        <w:spacing w:after="120"/>
        <w:ind w:left="850"/>
      </w:pPr>
      <w:r>
        <w:rPr>
          <w:rFonts w:ascii="Calibri" w:cs="Calibri" w:eastAsia="Calibri" w:hAnsi="Calibri"/>
          <w:sz w:val="22"/>
          <w:szCs w:val="22"/>
        </w:rPr>
        <w:t xml:space="preserve">The AWERB noted that:</w:t>
      </w:r>
    </w:p>
    <w:p>
      <w:pPr>
        <w:pStyle w:val="ListParagraph"/>
        <w:numPr>
          <w:ilvl w:val="0"/>
          <w:numId w:val="2"/>
        </w:numPr>
        <w:spacing w:after="60"/>
      </w:pPr>
      <w:r>
        <w:rPr>
          <w:rFonts w:ascii="Calibri" w:cs="Calibri" w:eastAsia="Calibri" w:hAnsi="Calibri"/>
          <w:sz w:val="22"/>
          <w:szCs w:val="22"/>
        </w:rPr>
        <w:t xml:space="preserve">A project was in hand to remove the -80 freezers from the building. This was likely to cause some disruption, and consideration was being given to minimising disturbance for the BRU</w:t>
      </w:r>
    </w:p>
    <w:p>
      <w:pPr>
        <w:pStyle w:val="ListParagraph"/>
        <w:numPr>
          <w:ilvl w:val="0"/>
          <w:numId w:val="2"/>
        </w:numPr>
        <w:spacing w:after="60"/>
      </w:pPr>
      <w:r>
        <w:rPr>
          <w:rFonts w:ascii="Calibri" w:cs="Calibri" w:eastAsia="Calibri" w:hAnsi="Calibri"/>
          <w:sz w:val="22"/>
          <w:szCs w:val="22"/>
        </w:rPr>
        <w:t xml:space="preserve">In the longer-term the BRU were looking at an alternative to the current animal database system with DTS</w:t>
      </w:r>
    </w:p>
    <w:p>
      <w:pPr>
        <w:pStyle w:val="ListParagraph"/>
        <w:numPr>
          <w:ilvl w:val="0"/>
          <w:numId w:val="2"/>
        </w:numPr>
        <w:spacing w:after="60"/>
      </w:pPr>
      <w:r>
        <w:rPr>
          <w:rFonts w:ascii="Calibri" w:cs="Calibri" w:eastAsia="Calibri" w:hAnsi="Calibri"/>
          <w:sz w:val="22"/>
          <w:szCs w:val="22"/>
        </w:rPr>
        <w:t xml:space="preserve">Work was progressing with colleagues in the Farm and MCE on the centenary event</w:t>
      </w:r>
    </w:p>
    <w:p>
      <w:pPr>
        <w:keepNext/>
        <w:tabs>
          <w:tab w:val="left" w:pos="850"/>
        </w:tabs>
        <w:spacing w:after="120" w:before="360"/>
        <w:ind w:left="850" w:hanging="850"/>
      </w:pPr>
      <w:r>
        <w:rPr>
          <w:rFonts w:ascii="Calibri" w:cs="Calibri" w:eastAsia="Calibri" w:hAnsi="Calibri"/>
          <w:sz w:val="22"/>
          <w:szCs w:val="22"/>
        </w:rPr>
        <w:t xml:space="preserve">25/22	</w:t>
      </w:r>
      <w:r>
        <w:rPr>
          <w:rFonts w:ascii="Calibri" w:cs="Calibri" w:eastAsia="Calibri" w:hAnsi="Calibri"/>
          <w:sz w:val="22"/>
          <w:szCs w:val="22"/>
          <w:u w:val="single"/>
        </w:rPr>
        <w:t xml:space="preserve">Report from CEDAR as relevant</w:t>
      </w:r>
    </w:p>
    <w:p>
      <w:pPr>
        <w:spacing w:after="120"/>
        <w:ind w:left="850"/>
      </w:pPr>
      <w:r>
        <w:rPr>
          <w:rFonts w:ascii="Calibri" w:cs="Calibri" w:eastAsia="Calibri" w:hAnsi="Calibri"/>
          <w:sz w:val="22"/>
          <w:szCs w:val="22"/>
        </w:rPr>
        <w:t xml:space="preserve">The AWERB noted that:</w:t>
      </w:r>
    </w:p>
    <w:p>
      <w:pPr>
        <w:pStyle w:val="ListParagraph"/>
        <w:numPr>
          <w:ilvl w:val="0"/>
          <w:numId w:val="2"/>
        </w:numPr>
        <w:spacing w:after="60"/>
      </w:pPr>
      <w:r>
        <w:rPr>
          <w:rFonts w:ascii="Calibri" w:cs="Calibri" w:eastAsia="Calibri" w:hAnsi="Calibri"/>
          <w:sz w:val="22"/>
          <w:szCs w:val="22"/>
        </w:rPr>
        <w:t xml:space="preserve">The Farm were pulling together historical information on animal research over the last 30 years for the centenary event</w:t>
      </w:r>
    </w:p>
    <w:p>
      <w:pPr>
        <w:pStyle w:val="ListParagraph"/>
        <w:numPr>
          <w:ilvl w:val="0"/>
          <w:numId w:val="2"/>
        </w:numPr>
        <w:spacing w:after="60"/>
      </w:pPr>
      <w:r>
        <w:rPr>
          <w:rFonts w:ascii="Calibri" w:cs="Calibri" w:eastAsia="Calibri" w:hAnsi="Calibri"/>
          <w:sz w:val="22"/>
          <w:szCs w:val="22"/>
        </w:rPr>
        <w:t xml:space="preserve">The new Farm Manager was starting to implement some changes</w:t>
      </w:r>
    </w:p>
    <w:p>
      <w:pPr>
        <w:pStyle w:val="ListParagraph"/>
        <w:numPr>
          <w:ilvl w:val="0"/>
          <w:numId w:val="2"/>
        </w:numPr>
        <w:spacing w:after="60"/>
      </w:pPr>
      <w:r>
        <w:rPr>
          <w:rFonts w:ascii="Calibri" w:cs="Calibri" w:eastAsia="Calibri" w:hAnsi="Calibri"/>
          <w:sz w:val="22"/>
          <w:szCs w:val="22"/>
        </w:rPr>
        <w:t xml:space="preserve">The pigs had now been moved outside; this had given an opportunity to complete works to the pig building/farrowing area</w:t>
      </w:r>
    </w:p>
    <w:p>
      <w:pPr>
        <w:pStyle w:val="ListParagraph"/>
        <w:numPr>
          <w:ilvl w:val="0"/>
          <w:numId w:val="2"/>
        </w:numPr>
        <w:spacing w:after="60"/>
      </w:pPr>
      <w:r>
        <w:rPr>
          <w:rFonts w:ascii="Calibri" w:cs="Calibri" w:eastAsia="Calibri" w:hAnsi="Calibri"/>
          <w:sz w:val="22"/>
          <w:szCs w:val="22"/>
        </w:rPr>
        <w:t xml:space="preserve">As part of 3Rs - work had started on an in vitro gut model project which gave easy access to live samples from cattle and would reduce the number of fistulated cattle needed</w:t>
      </w:r>
    </w:p>
    <w:p>
      <w:pPr>
        <w:pStyle w:val="ListParagraph"/>
        <w:numPr>
          <w:ilvl w:val="0"/>
          <w:numId w:val="2"/>
        </w:numPr>
        <w:spacing w:after="60"/>
      </w:pPr>
      <w:r>
        <w:rPr>
          <w:rFonts w:ascii="Calibri" w:cs="Calibri" w:eastAsia="Calibri" w:hAnsi="Calibri"/>
          <w:sz w:val="22"/>
          <w:szCs w:val="22"/>
        </w:rPr>
        <w:t xml:space="preserve">A long-term concern remained the move of the Farm, no planning or contingency had yet been put in place</w:t>
      </w:r>
    </w:p>
    <w:p>
      <w:pPr>
        <w:keepNext/>
        <w:tabs>
          <w:tab w:val="left" w:pos="850"/>
        </w:tabs>
        <w:spacing w:after="120" w:before="360"/>
        <w:ind w:left="850" w:hanging="850"/>
      </w:pPr>
      <w:r>
        <w:rPr>
          <w:rFonts w:ascii="Calibri" w:cs="Calibri" w:eastAsia="Calibri" w:hAnsi="Calibri"/>
          <w:sz w:val="22"/>
          <w:szCs w:val="22"/>
        </w:rPr>
        <w:t xml:space="preserve">25/23	</w:t>
      </w:r>
      <w:r>
        <w:rPr>
          <w:rFonts w:ascii="Calibri" w:cs="Calibri" w:eastAsia="Calibri" w:hAnsi="Calibri"/>
          <w:sz w:val="22"/>
          <w:szCs w:val="22"/>
          <w:u w:val="single"/>
        </w:rPr>
        <w:t xml:space="preserve">Communications</w:t>
      </w:r>
    </w:p>
    <w:p>
      <w:pPr>
        <w:spacing w:after="120"/>
        <w:ind w:left="850"/>
      </w:pPr>
      <w:r>
        <w:rPr>
          <w:rFonts w:ascii="Calibri" w:cs="Calibri" w:eastAsia="Calibri" w:hAnsi="Calibri"/>
          <w:sz w:val="22"/>
          <w:szCs w:val="22"/>
        </w:rPr>
        <w:t xml:space="preserve">There was no report on this occasion other than to note plans for the centenary event.</w:t>
      </w:r>
    </w:p>
    <w:p>
      <w:pPr>
        <w:keepNext/>
        <w:tabs>
          <w:tab w:val="left" w:pos="850"/>
        </w:tabs>
        <w:spacing w:after="120" w:before="360"/>
        <w:ind w:left="850" w:hanging="850"/>
      </w:pPr>
      <w:r>
        <w:rPr>
          <w:rFonts w:ascii="Calibri" w:cs="Calibri" w:eastAsia="Calibri" w:hAnsi="Calibri"/>
          <w:sz w:val="22"/>
          <w:szCs w:val="22"/>
        </w:rPr>
        <w:t xml:space="preserve">25/24	</w:t>
      </w:r>
      <w:r>
        <w:rPr>
          <w:rFonts w:ascii="Calibri" w:cs="Calibri" w:eastAsia="Calibri" w:hAnsi="Calibri"/>
          <w:sz w:val="22"/>
          <w:szCs w:val="22"/>
          <w:u w:val="single"/>
        </w:rPr>
        <w:t xml:space="preserve">Items for future meetings</w:t>
      </w:r>
    </w:p>
    <w:p>
      <w:pPr>
        <w:spacing w:after="120"/>
        <w:ind w:left="850"/>
      </w:pPr>
      <w:r>
        <w:rPr>
          <w:rFonts w:ascii="Calibri" w:cs="Calibri" w:eastAsia="Calibri" w:hAnsi="Calibri"/>
          <w:sz w:val="22"/>
          <w:szCs w:val="22"/>
        </w:rPr>
        <w:t xml:space="preserve">The AWERB were asked to submit any items for future meetings to the Secretary or Head of QAR.</w:t>
      </w:r>
    </w:p>
    <w:p>
      <w:pPr>
        <w:keepNext/>
        <w:tabs>
          <w:tab w:val="left" w:pos="850"/>
        </w:tabs>
        <w:spacing w:after="120" w:before="360"/>
        <w:ind w:left="850" w:hanging="850"/>
      </w:pPr>
      <w:r>
        <w:rPr>
          <w:rFonts w:ascii="Calibri" w:cs="Calibri" w:eastAsia="Calibri" w:hAnsi="Calibri"/>
          <w:sz w:val="22"/>
          <w:szCs w:val="22"/>
        </w:rPr>
        <w:t xml:space="preserve">25/25	</w:t>
      </w:r>
      <w:r>
        <w:rPr>
          <w:rFonts w:ascii="Calibri" w:cs="Calibri" w:eastAsia="Calibri" w:hAnsi="Calibri"/>
          <w:sz w:val="22"/>
          <w:szCs w:val="22"/>
          <w:u w:val="single"/>
        </w:rPr>
        <w:t xml:space="preserve">Dates of meetings in the Session 2025-26</w:t>
      </w:r>
    </w:p>
    <w:p>
      <w:pPr>
        <w:spacing w:after="120"/>
        <w:ind w:left="850"/>
      </w:pPr>
      <w:r>
        <w:rPr>
          <w:rFonts w:ascii="Calibri" w:cs="Calibri" w:eastAsia="Calibri" w:hAnsi="Calibri"/>
          <w:sz w:val="22"/>
          <w:szCs w:val="22"/>
        </w:rPr>
        <w:t xml:space="preserve">Wednesday 17 September 2025 at 10.00 am (in person)</w:t>
      </w:r>
    </w:p>
    <w:p>
      <w:pPr>
        <w:spacing w:after="0"/>
        <w:ind w:left="850"/>
      </w:pPr>
      <w:r>
        <w:rPr>
          <w:rFonts w:ascii="Calibri" w:cs="Calibri" w:eastAsia="Calibri" w:hAnsi="Calibri"/>
          <w:sz w:val="22"/>
          <w:szCs w:val="22"/>
        </w:rPr>
        <w:t xml:space="preserve">Monday 2 February 2026 at 10.00 am (via Teams)</w:t>
      </w:r>
    </w:p>
    <w:p>
      <w:pPr>
        <w:spacing w:after="120"/>
        <w:ind w:left="850"/>
      </w:pPr>
      <w:r>
        <w:rPr>
          <w:rFonts w:ascii="Calibri" w:cs="Calibri" w:eastAsia="Calibri" w:hAnsi="Calibri"/>
          <w:sz w:val="22"/>
          <w:szCs w:val="22"/>
        </w:rPr>
        <w:t xml:space="preserve">Thursday 7 May 2026 at 10.00 am (via Teams)</w:t>
      </w:r>
    </w:p>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8300"/>
        <w:tab w:val="right" w:pos="9638"/>
      </w:tabs>
    </w:pPr>
    <w:r>
      <w:rPr>
        <w:rFonts w:ascii="Arial" w:cs="Arial" w:eastAsia="Arial" w:hAnsi="Arial"/>
        <w:sz w:val="20"/>
        <w:szCs w:val="20"/>
      </w:rPr>
      <w:t xml:space="preserve">©University of Reading 2025	Monday 12 May 2025	Page </w:t>
    </w:r>
    <w:r>
      <w:rPr>
        <w:rFonts w:ascii="Arial" w:cs="Arial" w:eastAsia="Arial" w:hAnsi="Arial"/>
        <w:b/>
        <w:bCs/>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8300"/>
        <w:tab w:val="right" w:pos="9638"/>
      </w:tabs>
    </w:pPr>
    <w:r>
      <w:rPr>
        <w:rFonts w:ascii="Arial" w:cs="Arial" w:eastAsia="Arial" w:hAnsi="Arial"/>
        <w:sz w:val="20"/>
        <w:szCs w:val="20"/>
      </w:rPr>
      <w:t xml:space="preserve">©University of Reading 2025	Monday 12 May 2025	Page </w:t>
    </w:r>
    <w:r>
      <w:rPr>
        <w:rFonts w:ascii="Arial" w:cs="Arial" w:eastAsia="Arial" w:hAnsi="Arial"/>
        <w:b/>
        <w:bCs/>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00"/>
    </w:pPr>
    <w:r>
      <w:rPr>
        <w:rFonts w:ascii="Calibri" w:cs="Calibri" w:eastAsia="Calibri" w:hAnsi="Calibri"/>
        <w:b/>
        <w:bCs/>
        <w:sz w:val="22"/>
        <w:szCs w:val="22"/>
      </w:rPr>
      <w:t xml:space="preserve">Governance</w:t>
    </w:r>
    <w:r>
      <w:rPr>
        <w:rFonts w:ascii="Calibri" w:cs="Calibri" w:eastAsia="Calibri" w:hAnsi="Calibri"/>
        <w:sz w:val="22"/>
        <w:szCs w:val="22"/>
      </w:rPr>
      <w:t xml:space="preserve">	</w:t>
    </w:r>
    <w:r>
      <w:drawing>
        <wp:inline distT="0" distB="0" distL="0" distR="0">
          <wp:extent cx="1181100" cy="381000"/>
          <wp:effectExtent t="0" r="0" b="0" l="0"/>
          <wp:docPr id="1" name="logo" descr="University of Reading logo" title="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81100" cy="381000"/>
                  </a:xfrm>
                  <a:prstGeom prst="rect">
                    <a:avLst/>
                  </a:prstGeom>
                </pic:spPr>
              </pic:pic>
            </a:graphicData>
          </a:graphic>
        </wp:inline>
      </w:drawing>
    </w:r>
  </w:p>
  <w:p>
    <w:pPr>
      <w:spacing w:after="0"/>
    </w:pPr>
    <w:r>
      <w:rPr>
        <w:rFonts w:ascii="Calibri" w:cs="Calibri" w:eastAsia="Calibri" w:hAnsi="Calibri"/>
        <w:b/>
        <w:bCs/>
        <w:sz w:val="22"/>
        <w:szCs w:val="22"/>
      </w:rPr>
      <w:t xml:space="preserve">Unrestricted Minutes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210" w:hanging="360"/>
      </w:pPr>
    </w:lvl>
    <w:lvl w:ilvl="1" w15:tentative="1">
      <w:start w:val="1"/>
      <w:numFmt w:val="bullet"/>
      <w:lvlText w:val="o"/>
      <w:lvlJc w:val="left"/>
      <w:pPr>
        <w:ind w:left="1930" w:hanging="360"/>
      </w:pPr>
      <w:rPr>
        <w:rFonts w:ascii="Courier New" w:cs="Courier New" w:eastAsia="Courier New" w:hAnsi="Courier New"/>
      </w:rPr>
    </w:lvl>
  </w:abstractNum>
  <w:abstractNum w:abstractNumId="3" w15:restartNumberingAfterBreak="0">
    <w:multiLevelType w:val="hybridMultilevel"/>
    <w:lvl w:ilvl="0" w15:tentative="1">
      <w:start w:val="1"/>
      <w:numFmt w:val="bullet"/>
      <w:lvlText w:val="•"/>
      <w:lvlJc w:val="left"/>
      <w:pPr>
        <w:ind w:left="121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240" w:before="360"/>
    </w:pPr>
    <w:rPr>
      <w:rFonts w:ascii="Calibri" w:cs="Calibri" w:eastAsia="Calibri" w:hAnsi="Calibri"/>
      <w:sz w:val="52"/>
      <w:szCs w:val="5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32c0ca2b0420a45a2aba1ab0f448ca2bfdb4680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AWERB Minutes – 8 May 2025</dc:title>
  <dc:creator>University of Reading</dc:creator>
  <cp:lastModifiedBy>Un-named</cp:lastModifiedBy>
  <cp:revision>1</cp:revision>
  <dcterms:created xsi:type="dcterms:W3CDTF">2026-09-29T10:40:05.446Z</dcterms:created>
  <dcterms:modified xsi:type="dcterms:W3CDTF">2026-09-29T10:40:05.447Z</dcterms:modified>
</cp:coreProperties>
</file>

<file path=docProps/custom.xml><?xml version="1.0" encoding="utf-8"?>
<Properties xmlns="http://schemas.openxmlformats.org/officeDocument/2006/custom-properties" xmlns:vt="http://schemas.openxmlformats.org/officeDocument/2006/docPropsVTypes"/>
</file>