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36BB1" w14:textId="177E4A5E" w:rsidR="00B841A1" w:rsidRPr="00E06C5D" w:rsidRDefault="00B841A1" w:rsidP="00B841A1">
      <w:pPr>
        <w:overflowPunct w:val="0"/>
        <w:autoSpaceDE w:val="0"/>
        <w:autoSpaceDN w:val="0"/>
        <w:adjustRightInd w:val="0"/>
        <w:snapToGrid w:val="0"/>
        <w:spacing w:before="120" w:after="0" w:line="240" w:lineRule="auto"/>
        <w:textAlignment w:val="baseline"/>
        <w:rPr>
          <w:rFonts w:ascii="Arial" w:eastAsia="Times New Roman" w:hAnsi="Arial" w:cs="Arial"/>
          <w:b/>
          <w:bCs/>
          <w:noProof/>
          <w:color w:val="C00000"/>
          <w:kern w:val="0"/>
          <w:sz w:val="56"/>
          <w:szCs w:val="56"/>
          <w14:ligatures w14:val="none"/>
        </w:rPr>
      </w:pPr>
      <w:r w:rsidRPr="00E06C5D">
        <w:rPr>
          <w:rFonts w:ascii="Arial" w:eastAsia="Times New Roman" w:hAnsi="Arial" w:cs="Arial"/>
          <w:b/>
          <w:bCs/>
          <w:noProof/>
          <w:color w:val="C00000"/>
          <w:kern w:val="0"/>
          <w:sz w:val="56"/>
          <w:szCs w:val="56"/>
          <w14:ligatures w14:val="none"/>
        </w:rPr>
        <w:t xml:space="preserve">Coachbright </w:t>
      </w:r>
      <w:r w:rsidR="00F83C8F" w:rsidRPr="00E06C5D">
        <w:rPr>
          <w:rFonts w:ascii="Arial" w:eastAsia="Times New Roman" w:hAnsi="Arial" w:cs="Arial"/>
          <w:b/>
          <w:bCs/>
          <w:noProof/>
          <w:color w:val="C00000"/>
          <w:kern w:val="0"/>
          <w:sz w:val="56"/>
          <w:szCs w:val="56"/>
          <w14:ligatures w14:val="none"/>
        </w:rPr>
        <w:t xml:space="preserve">in </w:t>
      </w:r>
      <w:r w:rsidR="00A750FF" w:rsidRPr="00E06C5D">
        <w:rPr>
          <w:rFonts w:ascii="Arial" w:eastAsia="Times New Roman" w:hAnsi="Arial" w:cs="Arial"/>
          <w:b/>
          <w:bCs/>
          <w:noProof/>
          <w:color w:val="C00000"/>
          <w:kern w:val="0"/>
          <w:sz w:val="56"/>
          <w:szCs w:val="56"/>
          <w14:ligatures w14:val="none"/>
        </w:rPr>
        <w:t>C</w:t>
      </w:r>
      <w:r w:rsidR="00F83C8F" w:rsidRPr="00E06C5D">
        <w:rPr>
          <w:rFonts w:ascii="Arial" w:eastAsia="Times New Roman" w:hAnsi="Arial" w:cs="Arial"/>
          <w:b/>
          <w:bCs/>
          <w:noProof/>
          <w:color w:val="C00000"/>
          <w:kern w:val="0"/>
          <w:sz w:val="56"/>
          <w:szCs w:val="56"/>
          <w14:ligatures w14:val="none"/>
        </w:rPr>
        <w:t xml:space="preserve">ollaboration </w:t>
      </w:r>
      <w:r w:rsidR="006D1A09" w:rsidRPr="00E06C5D">
        <w:rPr>
          <w:rFonts w:ascii="Arial" w:eastAsia="Times New Roman" w:hAnsi="Arial" w:cs="Arial"/>
          <w:b/>
          <w:bCs/>
          <w:noProof/>
          <w:color w:val="C00000"/>
          <w:kern w:val="0"/>
          <w:sz w:val="56"/>
          <w:szCs w:val="56"/>
          <w14:ligatures w14:val="none"/>
        </w:rPr>
        <w:t>w</w:t>
      </w:r>
      <w:r w:rsidR="00F83C8F" w:rsidRPr="00E06C5D">
        <w:rPr>
          <w:rFonts w:ascii="Arial" w:eastAsia="Times New Roman" w:hAnsi="Arial" w:cs="Arial"/>
          <w:b/>
          <w:bCs/>
          <w:noProof/>
          <w:color w:val="C00000"/>
          <w:kern w:val="0"/>
          <w:sz w:val="56"/>
          <w:szCs w:val="56"/>
          <w14:ligatures w14:val="none"/>
        </w:rPr>
        <w:t>ith</w:t>
      </w:r>
      <w:r w:rsidRPr="00E06C5D">
        <w:rPr>
          <w:rFonts w:ascii="Arial" w:eastAsia="Times New Roman" w:hAnsi="Arial" w:cs="Arial"/>
          <w:b/>
          <w:bCs/>
          <w:noProof/>
          <w:color w:val="C00000"/>
          <w:kern w:val="0"/>
          <w:sz w:val="56"/>
          <w:szCs w:val="56"/>
          <w14:ligatures w14:val="none"/>
        </w:rPr>
        <w:t xml:space="preserve"> the University of Reading</w:t>
      </w:r>
    </w:p>
    <w:p w14:paraId="72A73565" w14:textId="4C775D40" w:rsidR="00B841A1" w:rsidRPr="0061370E" w:rsidRDefault="00B841A1" w:rsidP="00B841A1">
      <w:pPr>
        <w:overflowPunct w:val="0"/>
        <w:autoSpaceDE w:val="0"/>
        <w:autoSpaceDN w:val="0"/>
        <w:adjustRightInd w:val="0"/>
        <w:snapToGrid w:val="0"/>
        <w:spacing w:before="120" w:after="0" w:line="240" w:lineRule="auto"/>
        <w:textAlignment w:val="baseline"/>
        <w:rPr>
          <w:rFonts w:ascii="Arial" w:eastAsia="Times New Roman" w:hAnsi="Arial" w:cs="Arial"/>
          <w:b/>
          <w:bCs/>
          <w:color w:val="50535A"/>
          <w:kern w:val="0"/>
          <w:sz w:val="36"/>
          <w:szCs w:val="36"/>
          <w14:ligatures w14:val="none"/>
        </w:rPr>
      </w:pPr>
      <w:r w:rsidRPr="0061370E">
        <w:rPr>
          <w:rFonts w:ascii="Arial" w:eastAsia="Times New Roman" w:hAnsi="Arial" w:cs="Arial"/>
          <w:b/>
          <w:bCs/>
          <w:color w:val="50535A"/>
          <w:kern w:val="0"/>
          <w:sz w:val="36"/>
          <w:szCs w:val="36"/>
          <w14:ligatures w14:val="none"/>
        </w:rPr>
        <w:t>202</w:t>
      </w:r>
      <w:r w:rsidR="00272E76" w:rsidRPr="0061370E">
        <w:rPr>
          <w:rFonts w:ascii="Arial" w:eastAsia="Times New Roman" w:hAnsi="Arial" w:cs="Arial"/>
          <w:b/>
          <w:bCs/>
          <w:color w:val="50535A"/>
          <w:kern w:val="0"/>
          <w:sz w:val="36"/>
          <w:szCs w:val="36"/>
          <w14:ligatures w14:val="none"/>
        </w:rPr>
        <w:t>4</w:t>
      </w:r>
      <w:r w:rsidR="00350393" w:rsidRPr="0061370E">
        <w:rPr>
          <w:rFonts w:ascii="Arial" w:eastAsia="Times New Roman" w:hAnsi="Arial" w:cs="Arial"/>
          <w:b/>
          <w:bCs/>
          <w:color w:val="50535A"/>
          <w:kern w:val="0"/>
          <w:sz w:val="36"/>
          <w:szCs w:val="36"/>
          <w14:ligatures w14:val="none"/>
        </w:rPr>
        <w:t>/5</w:t>
      </w:r>
      <w:r w:rsidRPr="0061370E">
        <w:rPr>
          <w:rFonts w:ascii="Arial" w:eastAsia="Times New Roman" w:hAnsi="Arial" w:cs="Arial"/>
          <w:b/>
          <w:bCs/>
          <w:color w:val="50535A"/>
          <w:kern w:val="0"/>
          <w:sz w:val="36"/>
          <w:szCs w:val="36"/>
          <w14:ligatures w14:val="none"/>
        </w:rPr>
        <w:t xml:space="preserve"> Evaluation </w:t>
      </w:r>
      <w:r w:rsidRPr="0061370E">
        <w:rPr>
          <w:rFonts w:ascii="Arial" w:eastAsia="Times New Roman" w:hAnsi="Arial" w:cs="Arial"/>
          <w:b/>
          <w:bCs/>
          <w:noProof/>
          <w:color w:val="50535A"/>
          <w:kern w:val="0"/>
          <w:sz w:val="36"/>
          <w:szCs w:val="36"/>
          <w14:ligatures w14:val="none"/>
        </w:rPr>
        <w:t>report</w:t>
      </w:r>
    </w:p>
    <w:p w14:paraId="13B86A91" w14:textId="77777777" w:rsidR="00B841A1" w:rsidRPr="00B80719" w:rsidRDefault="00B841A1" w:rsidP="00B841A1">
      <w:pPr>
        <w:tabs>
          <w:tab w:val="left" w:pos="6096"/>
        </w:tabs>
        <w:overflowPunct w:val="0"/>
        <w:autoSpaceDE w:val="0"/>
        <w:autoSpaceDN w:val="0"/>
        <w:adjustRightInd w:val="0"/>
        <w:snapToGrid w:val="0"/>
        <w:spacing w:before="120" w:after="0" w:line="240" w:lineRule="auto"/>
        <w:textAlignment w:val="baseline"/>
        <w:rPr>
          <w:rFonts w:ascii="Arial" w:eastAsia="Times New Roman" w:hAnsi="Arial" w:cs="Arial"/>
          <w:b/>
          <w:bCs/>
          <w:noProof/>
          <w:color w:val="50535A"/>
          <w:kern w:val="0"/>
          <w:szCs w:val="18"/>
          <w14:ligatures w14:val="none"/>
        </w:rPr>
      </w:pPr>
      <w:r w:rsidRPr="00B80719">
        <w:rPr>
          <w:rFonts w:ascii="Arial" w:eastAsia="Times New Roman" w:hAnsi="Arial" w:cs="Arial"/>
          <w:b/>
          <w:bCs/>
          <w:noProof/>
          <w:color w:val="50535A"/>
          <w:kern w:val="0"/>
          <w:szCs w:val="18"/>
          <w14:ligatures w14:val="none"/>
        </w:rPr>
        <w:t>Ben Worsfold, UK Student Recruitment and Outreach</w:t>
      </w:r>
    </w:p>
    <w:p w14:paraId="180A3E61" w14:textId="0A34E965" w:rsidR="001372D4" w:rsidRPr="00B80719" w:rsidRDefault="00E06C5D" w:rsidP="55E6A232">
      <w:pPr>
        <w:tabs>
          <w:tab w:val="left" w:pos="6096"/>
        </w:tabs>
        <w:overflowPunct w:val="0"/>
        <w:autoSpaceDE w:val="0"/>
        <w:autoSpaceDN w:val="0"/>
        <w:adjustRightInd w:val="0"/>
        <w:snapToGrid w:val="0"/>
        <w:spacing w:before="120" w:after="0" w:line="240" w:lineRule="auto"/>
        <w:textAlignment w:val="baseline"/>
        <w:rPr>
          <w:rFonts w:ascii="Arial" w:eastAsia="Times New Roman" w:hAnsi="Arial" w:cs="Arial"/>
          <w:b/>
          <w:bCs/>
          <w:noProof/>
          <w:color w:val="50535A"/>
          <w:kern w:val="0"/>
          <w14:ligatures w14:val="none"/>
        </w:rPr>
      </w:pPr>
      <w:r>
        <w:rPr>
          <w:rFonts w:ascii="Arial" w:eastAsia="Times New Roman" w:hAnsi="Arial" w:cs="Arial"/>
          <w:b/>
          <w:bCs/>
          <w:noProof/>
          <w:color w:val="50535A"/>
          <w:kern w:val="0"/>
          <w14:ligatures w14:val="none"/>
        </w:rPr>
        <w:t>April</w:t>
      </w:r>
      <w:r w:rsidR="3DF01F50" w:rsidRPr="00B80719">
        <w:rPr>
          <w:rFonts w:ascii="Arial" w:eastAsia="Times New Roman" w:hAnsi="Arial" w:cs="Arial"/>
          <w:b/>
          <w:bCs/>
          <w:noProof/>
          <w:color w:val="50535A"/>
          <w:kern w:val="0"/>
          <w14:ligatures w14:val="none"/>
        </w:rPr>
        <w:t xml:space="preserve"> </w:t>
      </w:r>
      <w:r w:rsidR="003706E1" w:rsidRPr="00B80719">
        <w:rPr>
          <w:rFonts w:ascii="Arial" w:eastAsia="Times New Roman" w:hAnsi="Arial" w:cs="Arial"/>
          <w:b/>
          <w:bCs/>
          <w:noProof/>
          <w:color w:val="50535A"/>
          <w:kern w:val="0"/>
          <w14:ligatures w14:val="none"/>
        </w:rPr>
        <w:t>202</w:t>
      </w:r>
      <w:r w:rsidR="008F72C1" w:rsidRPr="00B80719">
        <w:rPr>
          <w:rFonts w:ascii="Arial" w:eastAsia="Times New Roman" w:hAnsi="Arial" w:cs="Arial"/>
          <w:b/>
          <w:bCs/>
          <w:noProof/>
          <w:color w:val="50535A"/>
          <w:kern w:val="0"/>
          <w14:ligatures w14:val="none"/>
        </w:rPr>
        <w:t>6</w:t>
      </w:r>
    </w:p>
    <w:sdt>
      <w:sdtPr>
        <w:rPr>
          <w:rFonts w:ascii="Arial" w:eastAsiaTheme="minorEastAsia" w:hAnsi="Arial" w:cs="Arial"/>
          <w:color w:val="auto"/>
          <w:kern w:val="2"/>
          <w:sz w:val="24"/>
          <w:szCs w:val="24"/>
          <w:lang w:eastAsia="en-US"/>
          <w14:ligatures w14:val="standardContextual"/>
        </w:rPr>
        <w:id w:val="2061561564"/>
        <w:docPartObj>
          <w:docPartGallery w:val="Table of Contents"/>
          <w:docPartUnique/>
        </w:docPartObj>
      </w:sdtPr>
      <w:sdtEndPr/>
      <w:sdtContent>
        <w:p w14:paraId="100DB52D" w14:textId="067518B6" w:rsidR="00B16D3C" w:rsidRPr="00B80719" w:rsidRDefault="00B16D3C" w:rsidP="7C389CE1">
          <w:pPr>
            <w:pStyle w:val="TOCHeading"/>
            <w:rPr>
              <w:rFonts w:ascii="Arial" w:hAnsi="Arial" w:cs="Arial"/>
              <w:b/>
              <w:bCs/>
              <w:color w:val="C00000"/>
              <w:sz w:val="28"/>
              <w:szCs w:val="28"/>
            </w:rPr>
          </w:pPr>
          <w:r w:rsidRPr="00B80719">
            <w:rPr>
              <w:rFonts w:ascii="Arial" w:hAnsi="Arial" w:cs="Arial"/>
              <w:b/>
              <w:bCs/>
              <w:color w:val="C00000"/>
              <w:sz w:val="28"/>
              <w:szCs w:val="28"/>
            </w:rPr>
            <w:t>Contents</w:t>
          </w:r>
        </w:p>
        <w:p w14:paraId="01381315" w14:textId="041B2EA3" w:rsidR="00B80719" w:rsidRPr="00B80719" w:rsidRDefault="72D8BCB5">
          <w:pPr>
            <w:pStyle w:val="TOC1"/>
            <w:tabs>
              <w:tab w:val="right" w:leader="dot" w:pos="9016"/>
            </w:tabs>
            <w:rPr>
              <w:rFonts w:ascii="Arial" w:eastAsiaTheme="minorEastAsia" w:hAnsi="Arial" w:cs="Arial"/>
              <w:noProof/>
              <w:lang w:eastAsia="en-GB"/>
            </w:rPr>
          </w:pPr>
          <w:r w:rsidRPr="00B80719">
            <w:rPr>
              <w:rFonts w:ascii="Arial" w:hAnsi="Arial" w:cs="Arial"/>
            </w:rPr>
            <w:fldChar w:fldCharType="begin"/>
          </w:r>
          <w:r w:rsidR="00E75853" w:rsidRPr="00B80719">
            <w:rPr>
              <w:rFonts w:ascii="Arial" w:hAnsi="Arial" w:cs="Arial"/>
            </w:rPr>
            <w:instrText>TOC \o "1-3" \z \u \h</w:instrText>
          </w:r>
          <w:r w:rsidRPr="00B80719">
            <w:rPr>
              <w:rFonts w:ascii="Arial" w:hAnsi="Arial" w:cs="Arial"/>
            </w:rPr>
            <w:fldChar w:fldCharType="separate"/>
          </w:r>
          <w:hyperlink w:anchor="_Toc220493474" w:history="1">
            <w:r w:rsidR="00B80719" w:rsidRPr="00B80719">
              <w:rPr>
                <w:rStyle w:val="Hyperlink"/>
                <w:rFonts w:ascii="Arial" w:hAnsi="Arial" w:cs="Arial"/>
                <w:noProof/>
              </w:rPr>
              <w:t>Executive Summary</w:t>
            </w:r>
            <w:r w:rsidR="00B80719" w:rsidRPr="00B80719">
              <w:rPr>
                <w:rFonts w:ascii="Arial" w:hAnsi="Arial" w:cs="Arial"/>
                <w:noProof/>
                <w:webHidden/>
              </w:rPr>
              <w:tab/>
            </w:r>
            <w:r w:rsidR="00B80719" w:rsidRPr="00B80719">
              <w:rPr>
                <w:rFonts w:ascii="Arial" w:hAnsi="Arial" w:cs="Arial"/>
                <w:noProof/>
                <w:webHidden/>
              </w:rPr>
              <w:fldChar w:fldCharType="begin"/>
            </w:r>
            <w:r w:rsidR="00B80719" w:rsidRPr="00B80719">
              <w:rPr>
                <w:rFonts w:ascii="Arial" w:hAnsi="Arial" w:cs="Arial"/>
                <w:noProof/>
                <w:webHidden/>
              </w:rPr>
              <w:instrText xml:space="preserve"> PAGEREF _Toc220493474 \h </w:instrText>
            </w:r>
            <w:r w:rsidR="00B80719" w:rsidRPr="00B80719">
              <w:rPr>
                <w:rFonts w:ascii="Arial" w:hAnsi="Arial" w:cs="Arial"/>
                <w:noProof/>
                <w:webHidden/>
              </w:rPr>
            </w:r>
            <w:r w:rsidR="00B80719" w:rsidRPr="00B80719">
              <w:rPr>
                <w:rFonts w:ascii="Arial" w:hAnsi="Arial" w:cs="Arial"/>
                <w:noProof/>
                <w:webHidden/>
              </w:rPr>
              <w:fldChar w:fldCharType="separate"/>
            </w:r>
            <w:r w:rsidR="00B80719" w:rsidRPr="00B80719">
              <w:rPr>
                <w:rFonts w:ascii="Arial" w:hAnsi="Arial" w:cs="Arial"/>
                <w:noProof/>
                <w:webHidden/>
              </w:rPr>
              <w:t>2</w:t>
            </w:r>
            <w:r w:rsidR="00B80719" w:rsidRPr="00B80719">
              <w:rPr>
                <w:rFonts w:ascii="Arial" w:hAnsi="Arial" w:cs="Arial"/>
                <w:noProof/>
                <w:webHidden/>
              </w:rPr>
              <w:fldChar w:fldCharType="end"/>
            </w:r>
          </w:hyperlink>
        </w:p>
        <w:p w14:paraId="5F40C725" w14:textId="19183A4D" w:rsidR="00B80719" w:rsidRPr="00B80719" w:rsidRDefault="00B80719">
          <w:pPr>
            <w:pStyle w:val="TOC1"/>
            <w:tabs>
              <w:tab w:val="right" w:leader="dot" w:pos="9016"/>
            </w:tabs>
            <w:rPr>
              <w:rFonts w:ascii="Arial" w:eastAsiaTheme="minorEastAsia" w:hAnsi="Arial" w:cs="Arial"/>
              <w:noProof/>
              <w:lang w:eastAsia="en-GB"/>
            </w:rPr>
          </w:pPr>
          <w:hyperlink w:anchor="_Toc220493475" w:history="1">
            <w:r w:rsidRPr="00B80719">
              <w:rPr>
                <w:rStyle w:val="Hyperlink"/>
                <w:rFonts w:ascii="Arial" w:hAnsi="Arial" w:cs="Arial"/>
                <w:noProof/>
              </w:rPr>
              <w:t>Introduction</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_Toc220493475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5</w:t>
            </w:r>
            <w:r w:rsidRPr="00B80719">
              <w:rPr>
                <w:rFonts w:ascii="Arial" w:hAnsi="Arial" w:cs="Arial"/>
                <w:noProof/>
                <w:webHidden/>
              </w:rPr>
              <w:fldChar w:fldCharType="end"/>
            </w:r>
          </w:hyperlink>
        </w:p>
        <w:p w14:paraId="5324D153" w14:textId="68D1C072" w:rsidR="00B80719" w:rsidRPr="00B80719" w:rsidRDefault="00B80719">
          <w:pPr>
            <w:pStyle w:val="TOC3"/>
            <w:tabs>
              <w:tab w:val="right" w:leader="dot" w:pos="9016"/>
            </w:tabs>
            <w:rPr>
              <w:rFonts w:ascii="Arial" w:eastAsiaTheme="minorEastAsia" w:hAnsi="Arial" w:cs="Arial"/>
              <w:noProof/>
              <w:lang w:eastAsia="en-GB"/>
            </w:rPr>
          </w:pPr>
          <w:hyperlink w:anchor="_Toc220493476" w:history="1">
            <w:r w:rsidRPr="00B80719">
              <w:rPr>
                <w:rStyle w:val="Hyperlink"/>
                <w:rFonts w:ascii="Arial" w:hAnsi="Arial" w:cs="Arial"/>
                <w:noProof/>
              </w:rPr>
              <w:t>Rationale</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_Toc220493476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5</w:t>
            </w:r>
            <w:r w:rsidRPr="00B80719">
              <w:rPr>
                <w:rFonts w:ascii="Arial" w:hAnsi="Arial" w:cs="Arial"/>
                <w:noProof/>
                <w:webHidden/>
              </w:rPr>
              <w:fldChar w:fldCharType="end"/>
            </w:r>
          </w:hyperlink>
        </w:p>
        <w:p w14:paraId="467F3E42" w14:textId="538EA0D8" w:rsidR="00B80719" w:rsidRPr="00B80719" w:rsidRDefault="00B80719">
          <w:pPr>
            <w:pStyle w:val="TOC3"/>
            <w:tabs>
              <w:tab w:val="right" w:leader="dot" w:pos="9016"/>
            </w:tabs>
            <w:rPr>
              <w:rFonts w:ascii="Arial" w:eastAsiaTheme="minorEastAsia" w:hAnsi="Arial" w:cs="Arial"/>
              <w:noProof/>
              <w:lang w:eastAsia="en-GB"/>
            </w:rPr>
          </w:pPr>
          <w:hyperlink w:anchor="_Toc220493477" w:history="1">
            <w:r w:rsidRPr="00B80719">
              <w:rPr>
                <w:rStyle w:val="Hyperlink"/>
                <w:rFonts w:ascii="Arial" w:hAnsi="Arial" w:cs="Arial"/>
                <w:noProof/>
              </w:rPr>
              <w:t>Linking to the Access and Participation Plan 2024-2028</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_Toc220493477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6</w:t>
            </w:r>
            <w:r w:rsidRPr="00B80719">
              <w:rPr>
                <w:rFonts w:ascii="Arial" w:hAnsi="Arial" w:cs="Arial"/>
                <w:noProof/>
                <w:webHidden/>
              </w:rPr>
              <w:fldChar w:fldCharType="end"/>
            </w:r>
          </w:hyperlink>
        </w:p>
        <w:p w14:paraId="1A845367" w14:textId="7B94F677" w:rsidR="00B80719" w:rsidRPr="00B80719" w:rsidRDefault="00B80719">
          <w:pPr>
            <w:pStyle w:val="TOC1"/>
            <w:tabs>
              <w:tab w:val="right" w:leader="dot" w:pos="9016"/>
            </w:tabs>
            <w:rPr>
              <w:rFonts w:ascii="Arial" w:eastAsiaTheme="minorEastAsia" w:hAnsi="Arial" w:cs="Arial"/>
              <w:noProof/>
              <w:lang w:eastAsia="en-GB"/>
            </w:rPr>
          </w:pPr>
          <w:hyperlink w:anchor="_Toc220493478" w:history="1">
            <w:r w:rsidRPr="00B80719">
              <w:rPr>
                <w:rStyle w:val="Hyperlink"/>
                <w:rFonts w:ascii="Arial" w:hAnsi="Arial" w:cs="Arial"/>
                <w:noProof/>
              </w:rPr>
              <w:t>Methodology</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_Toc220493478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7</w:t>
            </w:r>
            <w:r w:rsidRPr="00B80719">
              <w:rPr>
                <w:rFonts w:ascii="Arial" w:hAnsi="Arial" w:cs="Arial"/>
                <w:noProof/>
                <w:webHidden/>
              </w:rPr>
              <w:fldChar w:fldCharType="end"/>
            </w:r>
          </w:hyperlink>
        </w:p>
        <w:p w14:paraId="61805FB2" w14:textId="15902EEB" w:rsidR="00B80719" w:rsidRPr="00B80719" w:rsidRDefault="00B80719">
          <w:pPr>
            <w:pStyle w:val="TOC3"/>
            <w:tabs>
              <w:tab w:val="right" w:leader="dot" w:pos="9016"/>
            </w:tabs>
            <w:rPr>
              <w:rFonts w:ascii="Arial" w:eastAsiaTheme="minorEastAsia" w:hAnsi="Arial" w:cs="Arial"/>
              <w:noProof/>
              <w:lang w:eastAsia="en-GB"/>
            </w:rPr>
          </w:pPr>
          <w:hyperlink w:anchor="_Toc220493479" w:history="1">
            <w:r w:rsidRPr="00B80719">
              <w:rPr>
                <w:rStyle w:val="Hyperlink"/>
                <w:rFonts w:ascii="Arial" w:hAnsi="Arial" w:cs="Arial"/>
                <w:noProof/>
              </w:rPr>
              <w:t>Data Collection</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_Toc220493479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7</w:t>
            </w:r>
            <w:r w:rsidRPr="00B80719">
              <w:rPr>
                <w:rFonts w:ascii="Arial" w:hAnsi="Arial" w:cs="Arial"/>
                <w:noProof/>
                <w:webHidden/>
              </w:rPr>
              <w:fldChar w:fldCharType="end"/>
            </w:r>
          </w:hyperlink>
        </w:p>
        <w:p w14:paraId="14E4223B" w14:textId="4AE5D1B8" w:rsidR="00B80719" w:rsidRPr="00B80719" w:rsidRDefault="00B80719">
          <w:pPr>
            <w:pStyle w:val="TOC3"/>
            <w:tabs>
              <w:tab w:val="right" w:leader="dot" w:pos="9016"/>
            </w:tabs>
            <w:rPr>
              <w:rFonts w:ascii="Arial" w:eastAsiaTheme="minorEastAsia" w:hAnsi="Arial" w:cs="Arial"/>
              <w:noProof/>
              <w:lang w:eastAsia="en-GB"/>
            </w:rPr>
          </w:pPr>
          <w:hyperlink w:anchor="_Toc220493480" w:history="1">
            <w:r w:rsidRPr="00B80719">
              <w:rPr>
                <w:rStyle w:val="Hyperlink"/>
                <w:rFonts w:ascii="Arial" w:hAnsi="Arial" w:cs="Arial"/>
                <w:noProof/>
              </w:rPr>
              <w:t>Ethics and Data Security</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_Toc220493480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9</w:t>
            </w:r>
            <w:r w:rsidRPr="00B80719">
              <w:rPr>
                <w:rFonts w:ascii="Arial" w:hAnsi="Arial" w:cs="Arial"/>
                <w:noProof/>
                <w:webHidden/>
              </w:rPr>
              <w:fldChar w:fldCharType="end"/>
            </w:r>
          </w:hyperlink>
        </w:p>
        <w:p w14:paraId="0F0200DC" w14:textId="61B07F57" w:rsidR="00B80719" w:rsidRPr="00B80719" w:rsidRDefault="00B80719">
          <w:pPr>
            <w:pStyle w:val="TOC3"/>
            <w:tabs>
              <w:tab w:val="right" w:leader="dot" w:pos="9016"/>
            </w:tabs>
            <w:rPr>
              <w:rFonts w:ascii="Arial" w:eastAsiaTheme="minorEastAsia" w:hAnsi="Arial" w:cs="Arial"/>
              <w:noProof/>
              <w:lang w:eastAsia="en-GB"/>
            </w:rPr>
          </w:pPr>
          <w:hyperlink w:anchor="_Toc220493481" w:history="1">
            <w:r w:rsidRPr="00B80719">
              <w:rPr>
                <w:rStyle w:val="Hyperlink"/>
                <w:rFonts w:ascii="Arial" w:hAnsi="Arial" w:cs="Arial"/>
                <w:noProof/>
              </w:rPr>
              <w:t>Data Analysis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_Toc220493481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9</w:t>
            </w:r>
            <w:r w:rsidRPr="00B80719">
              <w:rPr>
                <w:rFonts w:ascii="Arial" w:hAnsi="Arial" w:cs="Arial"/>
                <w:noProof/>
                <w:webHidden/>
              </w:rPr>
              <w:fldChar w:fldCharType="end"/>
            </w:r>
          </w:hyperlink>
        </w:p>
        <w:p w14:paraId="5AE7C014" w14:textId="0EECC550" w:rsidR="00B80719" w:rsidRPr="00B80719" w:rsidRDefault="00B80719">
          <w:pPr>
            <w:pStyle w:val="TOC3"/>
            <w:tabs>
              <w:tab w:val="right" w:leader="dot" w:pos="9016"/>
            </w:tabs>
            <w:rPr>
              <w:rFonts w:ascii="Arial" w:eastAsiaTheme="minorEastAsia" w:hAnsi="Arial" w:cs="Arial"/>
              <w:noProof/>
              <w:lang w:eastAsia="en-GB"/>
            </w:rPr>
          </w:pPr>
          <w:hyperlink w:anchor="_Toc220493482" w:history="1">
            <w:r w:rsidRPr="00B80719">
              <w:rPr>
                <w:rStyle w:val="Hyperlink"/>
                <w:rFonts w:ascii="Arial" w:hAnsi="Arial" w:cs="Arial"/>
                <w:noProof/>
              </w:rPr>
              <w:t>Limitations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_Toc220493482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9</w:t>
            </w:r>
            <w:r w:rsidRPr="00B80719">
              <w:rPr>
                <w:rFonts w:ascii="Arial" w:hAnsi="Arial" w:cs="Arial"/>
                <w:noProof/>
                <w:webHidden/>
              </w:rPr>
              <w:fldChar w:fldCharType="end"/>
            </w:r>
          </w:hyperlink>
        </w:p>
        <w:p w14:paraId="07C09609" w14:textId="1CE4A491" w:rsidR="00B80719" w:rsidRPr="00B80719" w:rsidRDefault="00B80719">
          <w:pPr>
            <w:pStyle w:val="TOC1"/>
            <w:tabs>
              <w:tab w:val="right" w:leader="dot" w:pos="9016"/>
            </w:tabs>
            <w:rPr>
              <w:rFonts w:ascii="Arial" w:eastAsiaTheme="minorEastAsia" w:hAnsi="Arial" w:cs="Arial"/>
              <w:noProof/>
              <w:lang w:eastAsia="en-GB"/>
            </w:rPr>
          </w:pPr>
          <w:hyperlink w:anchor="_Toc220493483" w:history="1">
            <w:r w:rsidRPr="00B80719">
              <w:rPr>
                <w:rStyle w:val="Hyperlink"/>
                <w:rFonts w:ascii="Arial" w:hAnsi="Arial" w:cs="Arial"/>
                <w:noProof/>
              </w:rPr>
              <w:t>Results &amp; Findings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_Toc220493483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10</w:t>
            </w:r>
            <w:r w:rsidRPr="00B80719">
              <w:rPr>
                <w:rFonts w:ascii="Arial" w:hAnsi="Arial" w:cs="Arial"/>
                <w:noProof/>
                <w:webHidden/>
              </w:rPr>
              <w:fldChar w:fldCharType="end"/>
            </w:r>
          </w:hyperlink>
        </w:p>
        <w:p w14:paraId="024897C9" w14:textId="6DFF8721" w:rsidR="00B80719" w:rsidRPr="00B80719" w:rsidRDefault="00B80719">
          <w:pPr>
            <w:pStyle w:val="TOC3"/>
            <w:tabs>
              <w:tab w:val="right" w:leader="dot" w:pos="9016"/>
            </w:tabs>
            <w:rPr>
              <w:rFonts w:ascii="Arial" w:eastAsiaTheme="minorEastAsia" w:hAnsi="Arial" w:cs="Arial"/>
              <w:noProof/>
              <w:lang w:eastAsia="en-GB"/>
            </w:rPr>
          </w:pPr>
          <w:hyperlink w:anchor="_Toc220493484" w:history="1">
            <w:r w:rsidRPr="00B80719">
              <w:rPr>
                <w:rStyle w:val="Hyperlink"/>
                <w:rFonts w:ascii="Arial" w:hAnsi="Arial" w:cs="Arial"/>
                <w:noProof/>
              </w:rPr>
              <w:t>Demographics and Participants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_Toc220493484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10</w:t>
            </w:r>
            <w:r w:rsidRPr="00B80719">
              <w:rPr>
                <w:rFonts w:ascii="Arial" w:hAnsi="Arial" w:cs="Arial"/>
                <w:noProof/>
                <w:webHidden/>
              </w:rPr>
              <w:fldChar w:fldCharType="end"/>
            </w:r>
          </w:hyperlink>
        </w:p>
        <w:p w14:paraId="35F3BC8F" w14:textId="52E04B73" w:rsidR="00B80719" w:rsidRPr="00B80719" w:rsidRDefault="00B80719">
          <w:pPr>
            <w:pStyle w:val="TOC3"/>
            <w:tabs>
              <w:tab w:val="right" w:leader="dot" w:pos="9016"/>
            </w:tabs>
            <w:rPr>
              <w:rFonts w:ascii="Arial" w:eastAsiaTheme="minorEastAsia" w:hAnsi="Arial" w:cs="Arial"/>
              <w:noProof/>
              <w:lang w:eastAsia="en-GB"/>
            </w:rPr>
          </w:pPr>
          <w:hyperlink w:anchor="_Toc220493485" w:history="1">
            <w:r w:rsidRPr="00B80719">
              <w:rPr>
                <w:rStyle w:val="Hyperlink"/>
                <w:rFonts w:ascii="Arial" w:hAnsi="Arial" w:cs="Arial"/>
                <w:noProof/>
              </w:rPr>
              <w:t>Results of Analysis- Metacognition, Self-Efficacy and Motivation</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_Toc220493485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11</w:t>
            </w:r>
            <w:r w:rsidRPr="00B80719">
              <w:rPr>
                <w:rFonts w:ascii="Arial" w:hAnsi="Arial" w:cs="Arial"/>
                <w:noProof/>
                <w:webHidden/>
              </w:rPr>
              <w:fldChar w:fldCharType="end"/>
            </w:r>
          </w:hyperlink>
        </w:p>
        <w:p w14:paraId="629578D1" w14:textId="0D2DE61B" w:rsidR="00B80719" w:rsidRPr="00B80719" w:rsidRDefault="00B80719">
          <w:pPr>
            <w:pStyle w:val="TOC1"/>
            <w:tabs>
              <w:tab w:val="right" w:leader="dot" w:pos="9016"/>
            </w:tabs>
            <w:rPr>
              <w:rFonts w:ascii="Arial" w:eastAsiaTheme="minorEastAsia" w:hAnsi="Arial" w:cs="Arial"/>
              <w:noProof/>
              <w:lang w:eastAsia="en-GB"/>
            </w:rPr>
          </w:pPr>
          <w:hyperlink w:anchor="_Toc220493486" w:history="1">
            <w:r w:rsidRPr="00B80719">
              <w:rPr>
                <w:rStyle w:val="Hyperlink"/>
                <w:rFonts w:ascii="Arial" w:hAnsi="Arial" w:cs="Arial"/>
                <w:noProof/>
              </w:rPr>
              <w:t>Results of Analysis- Teacher Feedback (Quantitative, Qualitative, Graduation Events)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_Toc220493486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14</w:t>
            </w:r>
            <w:r w:rsidRPr="00B80719">
              <w:rPr>
                <w:rFonts w:ascii="Arial" w:hAnsi="Arial" w:cs="Arial"/>
                <w:noProof/>
                <w:webHidden/>
              </w:rPr>
              <w:fldChar w:fldCharType="end"/>
            </w:r>
          </w:hyperlink>
        </w:p>
        <w:p w14:paraId="1B48C39E" w14:textId="41F19719" w:rsidR="00B80719" w:rsidRPr="00B80719" w:rsidRDefault="00B80719">
          <w:pPr>
            <w:pStyle w:val="TOC1"/>
            <w:tabs>
              <w:tab w:val="right" w:leader="dot" w:pos="9016"/>
            </w:tabs>
            <w:rPr>
              <w:rFonts w:ascii="Arial" w:eastAsiaTheme="minorEastAsia" w:hAnsi="Arial" w:cs="Arial"/>
              <w:noProof/>
              <w:lang w:eastAsia="en-GB"/>
            </w:rPr>
          </w:pPr>
          <w:hyperlink w:anchor="_Toc220493487" w:history="1">
            <w:r w:rsidRPr="00B80719">
              <w:rPr>
                <w:rStyle w:val="Hyperlink"/>
                <w:rFonts w:ascii="Arial" w:hAnsi="Arial" w:cs="Arial"/>
                <w:noProof/>
              </w:rPr>
              <w:t>Conclusions and Recommendations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_Toc220493487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15</w:t>
            </w:r>
            <w:r w:rsidRPr="00B80719">
              <w:rPr>
                <w:rFonts w:ascii="Arial" w:hAnsi="Arial" w:cs="Arial"/>
                <w:noProof/>
                <w:webHidden/>
              </w:rPr>
              <w:fldChar w:fldCharType="end"/>
            </w:r>
          </w:hyperlink>
        </w:p>
        <w:p w14:paraId="51854822" w14:textId="3574698A" w:rsidR="00B80719" w:rsidRPr="00B80719" w:rsidRDefault="00B80719">
          <w:pPr>
            <w:pStyle w:val="TOC1"/>
            <w:tabs>
              <w:tab w:val="right" w:leader="dot" w:pos="9016"/>
            </w:tabs>
            <w:rPr>
              <w:rFonts w:ascii="Arial" w:eastAsiaTheme="minorEastAsia" w:hAnsi="Arial" w:cs="Arial"/>
              <w:noProof/>
              <w:lang w:eastAsia="en-GB"/>
            </w:rPr>
          </w:pPr>
          <w:hyperlink w:anchor="_Toc220493488" w:history="1">
            <w:r w:rsidRPr="00B80719">
              <w:rPr>
                <w:rStyle w:val="Hyperlink"/>
                <w:rFonts w:ascii="Arial" w:hAnsi="Arial" w:cs="Arial"/>
                <w:noProof/>
              </w:rPr>
              <w:t>References</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_Toc220493488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16</w:t>
            </w:r>
            <w:r w:rsidRPr="00B80719">
              <w:rPr>
                <w:rFonts w:ascii="Arial" w:hAnsi="Arial" w:cs="Arial"/>
                <w:noProof/>
                <w:webHidden/>
              </w:rPr>
              <w:fldChar w:fldCharType="end"/>
            </w:r>
          </w:hyperlink>
        </w:p>
        <w:p w14:paraId="012D21FD" w14:textId="31BD1979" w:rsidR="00B80719" w:rsidRPr="00B80719" w:rsidRDefault="00B80719">
          <w:pPr>
            <w:pStyle w:val="TOC1"/>
            <w:tabs>
              <w:tab w:val="right" w:leader="dot" w:pos="9016"/>
            </w:tabs>
            <w:rPr>
              <w:rFonts w:ascii="Arial" w:eastAsiaTheme="minorEastAsia" w:hAnsi="Arial" w:cs="Arial"/>
              <w:noProof/>
              <w:lang w:eastAsia="en-GB"/>
            </w:rPr>
          </w:pPr>
          <w:hyperlink w:anchor="_Toc220493489" w:history="1">
            <w:r w:rsidRPr="00B80719">
              <w:rPr>
                <w:rStyle w:val="Hyperlink"/>
                <w:rFonts w:ascii="Arial" w:hAnsi="Arial" w:cs="Arial"/>
                <w:noProof/>
              </w:rPr>
              <w:t>Appendix - Theory of Change</w:t>
            </w:r>
            <w:r w:rsidRPr="00B80719">
              <w:rPr>
                <w:rFonts w:ascii="Arial" w:hAnsi="Arial" w:cs="Arial"/>
                <w:noProof/>
                <w:webHidden/>
              </w:rPr>
              <w:tab/>
            </w:r>
            <w:r w:rsidRPr="00B80719">
              <w:rPr>
                <w:rFonts w:ascii="Arial" w:hAnsi="Arial" w:cs="Arial"/>
                <w:noProof/>
                <w:webHidden/>
              </w:rPr>
              <w:fldChar w:fldCharType="begin"/>
            </w:r>
            <w:r w:rsidRPr="00B80719">
              <w:rPr>
                <w:rFonts w:ascii="Arial" w:hAnsi="Arial" w:cs="Arial"/>
                <w:noProof/>
                <w:webHidden/>
              </w:rPr>
              <w:instrText xml:space="preserve"> PAGEREF _Toc220493489 \h </w:instrText>
            </w:r>
            <w:r w:rsidRPr="00B80719">
              <w:rPr>
                <w:rFonts w:ascii="Arial" w:hAnsi="Arial" w:cs="Arial"/>
                <w:noProof/>
                <w:webHidden/>
              </w:rPr>
            </w:r>
            <w:r w:rsidRPr="00B80719">
              <w:rPr>
                <w:rFonts w:ascii="Arial" w:hAnsi="Arial" w:cs="Arial"/>
                <w:noProof/>
                <w:webHidden/>
              </w:rPr>
              <w:fldChar w:fldCharType="separate"/>
            </w:r>
            <w:r w:rsidRPr="00B80719">
              <w:rPr>
                <w:rFonts w:ascii="Arial" w:hAnsi="Arial" w:cs="Arial"/>
                <w:noProof/>
                <w:webHidden/>
              </w:rPr>
              <w:t>16</w:t>
            </w:r>
            <w:r w:rsidRPr="00B80719">
              <w:rPr>
                <w:rFonts w:ascii="Arial" w:hAnsi="Arial" w:cs="Arial"/>
                <w:noProof/>
                <w:webHidden/>
              </w:rPr>
              <w:fldChar w:fldCharType="end"/>
            </w:r>
          </w:hyperlink>
        </w:p>
        <w:p w14:paraId="39FE3A71" w14:textId="3B7D8E06" w:rsidR="72D8BCB5" w:rsidRPr="00B80719" w:rsidRDefault="72D8BCB5" w:rsidP="72D8BCB5">
          <w:pPr>
            <w:pStyle w:val="TOC2"/>
            <w:tabs>
              <w:tab w:val="right" w:leader="dot" w:pos="9015"/>
            </w:tabs>
            <w:rPr>
              <w:rStyle w:val="Hyperlink"/>
              <w:rFonts w:ascii="Arial" w:hAnsi="Arial" w:cs="Arial"/>
            </w:rPr>
          </w:pPr>
          <w:r w:rsidRPr="00B80719">
            <w:rPr>
              <w:rFonts w:ascii="Arial" w:hAnsi="Arial" w:cs="Arial"/>
            </w:rPr>
            <w:fldChar w:fldCharType="end"/>
          </w:r>
        </w:p>
      </w:sdtContent>
    </w:sdt>
    <w:p w14:paraId="01C9FAD7" w14:textId="39D8C052" w:rsidR="00E75853" w:rsidRPr="00B80719" w:rsidRDefault="00E75853" w:rsidP="7C389CE1">
      <w:pPr>
        <w:pStyle w:val="TOC3"/>
        <w:tabs>
          <w:tab w:val="right" w:leader="dot" w:pos="9015"/>
        </w:tabs>
        <w:rPr>
          <w:rStyle w:val="Hyperlink"/>
          <w:rFonts w:ascii="Arial" w:hAnsi="Arial" w:cs="Arial"/>
          <w:noProof/>
          <w:lang w:eastAsia="en-GB"/>
        </w:rPr>
      </w:pPr>
    </w:p>
    <w:p w14:paraId="78EC4002" w14:textId="3052B0BF" w:rsidR="00B16D3C" w:rsidRPr="00B80719" w:rsidRDefault="00B16D3C">
      <w:pPr>
        <w:rPr>
          <w:rFonts w:ascii="Arial" w:hAnsi="Arial" w:cs="Arial"/>
        </w:rPr>
      </w:pPr>
    </w:p>
    <w:p w14:paraId="4F18D59D" w14:textId="0ABBBD4D" w:rsidR="00B858ED" w:rsidRPr="00B80719" w:rsidRDefault="00C3220F" w:rsidP="00B858ED">
      <w:pPr>
        <w:rPr>
          <w:rFonts w:ascii="Arial" w:hAnsi="Arial" w:cs="Arial"/>
        </w:rPr>
      </w:pPr>
      <w:r w:rsidRPr="00B80719">
        <w:rPr>
          <w:rFonts w:ascii="Arial" w:hAnsi="Arial" w:cs="Arial"/>
        </w:rPr>
        <w:br w:type="page"/>
      </w:r>
    </w:p>
    <w:p w14:paraId="38208327" w14:textId="43FEE118" w:rsidR="00B858ED" w:rsidRPr="00B80719" w:rsidRDefault="00B858ED" w:rsidP="00B354AA">
      <w:pPr>
        <w:pStyle w:val="Heading1"/>
        <w:jc w:val="left"/>
        <w:rPr>
          <w:rFonts w:ascii="Arial" w:hAnsi="Arial" w:cs="Arial"/>
        </w:rPr>
      </w:pPr>
      <w:bookmarkStart w:id="0" w:name="_Toc220493474"/>
      <w:r w:rsidRPr="00B80719">
        <w:rPr>
          <w:rFonts w:ascii="Arial" w:hAnsi="Arial" w:cs="Arial"/>
        </w:rPr>
        <w:lastRenderedPageBreak/>
        <w:t>Executive Summary</w:t>
      </w:r>
      <w:bookmarkEnd w:id="0"/>
    </w:p>
    <w:p w14:paraId="4DC223F3" w14:textId="477CC6A3" w:rsidR="00B858ED" w:rsidRPr="00B80719" w:rsidRDefault="00B858ED" w:rsidP="00A96053">
      <w:pPr>
        <w:rPr>
          <w:rFonts w:ascii="Arial" w:hAnsi="Arial" w:cs="Arial"/>
          <w:b/>
          <w:bCs/>
          <w:i/>
          <w:iCs/>
        </w:rPr>
      </w:pPr>
      <w:r w:rsidRPr="00B80719">
        <w:rPr>
          <w:rFonts w:ascii="Arial" w:hAnsi="Arial" w:cs="Arial"/>
          <w:b/>
          <w:bCs/>
        </w:rPr>
        <w:t>Overview</w:t>
      </w:r>
    </w:p>
    <w:p w14:paraId="471DAD4C" w14:textId="0E31AAB1" w:rsidR="007D6E7D" w:rsidRPr="00B80719" w:rsidRDefault="00E168A0" w:rsidP="00374D1A">
      <w:pPr>
        <w:pStyle w:val="NoSpacing"/>
      </w:pPr>
      <w:r w:rsidRPr="00B80719">
        <w:t>During the 202</w:t>
      </w:r>
      <w:r w:rsidR="00A750FF" w:rsidRPr="00B80719">
        <w:t>4</w:t>
      </w:r>
      <w:r w:rsidRPr="00B80719">
        <w:t>/202</w:t>
      </w:r>
      <w:r w:rsidR="00A750FF" w:rsidRPr="00B80719">
        <w:t>5</w:t>
      </w:r>
      <w:r w:rsidRPr="00B80719">
        <w:t xml:space="preserve"> academic year, the University of Reading </w:t>
      </w:r>
      <w:r w:rsidR="00A750FF" w:rsidRPr="00B80719">
        <w:t xml:space="preserve">continued to </w:t>
      </w:r>
      <w:r w:rsidRPr="00B80719">
        <w:t xml:space="preserve">collaborate with </w:t>
      </w:r>
      <w:r w:rsidR="001C438E" w:rsidRPr="00B80719">
        <w:t>Coachbright, an external provider of tutoring for Year 9 and Year 11 pupils, to deliver a</w:t>
      </w:r>
      <w:r w:rsidR="0075575E" w:rsidRPr="00B80719">
        <w:t xml:space="preserve"> programme of activity designed to support disadvantaged pupils in </w:t>
      </w:r>
      <w:r w:rsidR="0030103D" w:rsidRPr="00B80719">
        <w:t>progressing to</w:t>
      </w:r>
      <w:r w:rsidR="0075575E" w:rsidRPr="00B80719">
        <w:t xml:space="preserve"> </w:t>
      </w:r>
      <w:r w:rsidR="0030103D" w:rsidRPr="00B80719">
        <w:t>higher education</w:t>
      </w:r>
      <w:r w:rsidR="0075575E" w:rsidRPr="00B80719">
        <w:t>. The programme focused</w:t>
      </w:r>
      <w:r w:rsidR="000D46D9" w:rsidRPr="00B80719">
        <w:t xml:space="preserve"> on improving pupils’ metacognition, motivation and self-efficacy through paired tutoring, in-school workshops and a final on-campus graduation event supported by university students and staff.</w:t>
      </w:r>
      <w:r w:rsidR="00821866" w:rsidRPr="00B80719">
        <w:t xml:space="preserve"> The </w:t>
      </w:r>
      <w:r w:rsidR="00B845E7" w:rsidRPr="00B80719">
        <w:t>APP objectives</w:t>
      </w:r>
      <w:r w:rsidR="00821866" w:rsidRPr="00B80719">
        <w:t xml:space="preserve"> </w:t>
      </w:r>
      <w:r w:rsidR="00A74614" w:rsidRPr="00B80719">
        <w:t xml:space="preserve">related to </w:t>
      </w:r>
      <w:r w:rsidR="00821866" w:rsidRPr="00B80719">
        <w:t xml:space="preserve">the programme, as set out in </w:t>
      </w:r>
      <w:r w:rsidR="00B845E7" w:rsidRPr="00B80719">
        <w:t>the evaluation plan, were as follows:</w:t>
      </w:r>
    </w:p>
    <w:p w14:paraId="41677AD2" w14:textId="77777777" w:rsidR="00B845E7" w:rsidRPr="00B80719" w:rsidRDefault="00B845E7" w:rsidP="00374D1A">
      <w:pPr>
        <w:pStyle w:val="NoSpacing"/>
      </w:pPr>
    </w:p>
    <w:p w14:paraId="65CA5A66" w14:textId="6AADCC98" w:rsidR="00B845E7" w:rsidRPr="00B80719" w:rsidRDefault="00CC3470" w:rsidP="00B0146B">
      <w:pPr>
        <w:pStyle w:val="NoSpacing"/>
        <w:numPr>
          <w:ilvl w:val="0"/>
          <w:numId w:val="24"/>
        </w:numPr>
      </w:pPr>
      <w:r w:rsidRPr="00B80719">
        <w:t>Through targeted attainment-raising initiatives with partner schools, to support the removal of attainment-gaps at KS4 for students eligible for Free School Meals, those in IMD Q1, and those of Black ethnicity, such that by 2034 students from these groups progress equally into KS5 as their peers</w:t>
      </w:r>
      <w:r w:rsidR="1AC6DA9D" w:rsidRPr="00B80719">
        <w:t>.</w:t>
      </w:r>
    </w:p>
    <w:p w14:paraId="187AEADA" w14:textId="4F068771" w:rsidR="7510C0C7" w:rsidRPr="00B80719" w:rsidRDefault="7510C0C7" w:rsidP="7510C0C7">
      <w:pPr>
        <w:pStyle w:val="NoSpacing"/>
        <w:ind w:left="720"/>
      </w:pPr>
    </w:p>
    <w:p w14:paraId="1D57E6B8" w14:textId="7DA8AE60" w:rsidR="00B845E7" w:rsidRPr="00B80719" w:rsidRDefault="00A74614" w:rsidP="00374D1A">
      <w:pPr>
        <w:pStyle w:val="NoSpacing"/>
      </w:pPr>
      <w:r w:rsidRPr="00B80719">
        <w:t>K</w:t>
      </w:r>
      <w:r w:rsidR="00B845E7" w:rsidRPr="00B80719">
        <w:t>ey measures of success for the programme</w:t>
      </w:r>
      <w:r w:rsidR="00D20EDF" w:rsidRPr="00B80719">
        <w:t xml:space="preserve"> in the medium term</w:t>
      </w:r>
      <w:r w:rsidR="00B845E7" w:rsidRPr="00B80719">
        <w:t xml:space="preserve"> were as follows:</w:t>
      </w:r>
    </w:p>
    <w:p w14:paraId="788713C0" w14:textId="77777777" w:rsidR="008B7E84" w:rsidRPr="00B80719" w:rsidRDefault="008B7E84" w:rsidP="00374D1A">
      <w:pPr>
        <w:pStyle w:val="NoSpacing"/>
      </w:pPr>
    </w:p>
    <w:p w14:paraId="3440C35B" w14:textId="3F7392E8" w:rsidR="008B7E84" w:rsidRPr="00B80719" w:rsidRDefault="008B7E84" w:rsidP="00B0146B">
      <w:pPr>
        <w:pStyle w:val="NoSpacing"/>
        <w:numPr>
          <w:ilvl w:val="0"/>
          <w:numId w:val="23"/>
        </w:numPr>
      </w:pPr>
      <w:r w:rsidRPr="00B80719">
        <w:t>Does participation in Coachbright tutoring improve self-reported metacognition (i.e. independent learning skills and strategies)?</w:t>
      </w:r>
    </w:p>
    <w:p w14:paraId="0F46CF07" w14:textId="1B6CF04A" w:rsidR="008B7E84" w:rsidRPr="00B80719" w:rsidRDefault="008B7E84" w:rsidP="00B0146B">
      <w:pPr>
        <w:pStyle w:val="NoSpacing"/>
        <w:numPr>
          <w:ilvl w:val="0"/>
          <w:numId w:val="23"/>
        </w:numPr>
      </w:pPr>
      <w:r w:rsidRPr="00B80719">
        <w:t>Does participation in Coachbright tutoring improve self-reported self-efficacy?</w:t>
      </w:r>
    </w:p>
    <w:p w14:paraId="0022F0B8" w14:textId="119AC021" w:rsidR="008B7E84" w:rsidRPr="00B80719" w:rsidRDefault="008B7E84" w:rsidP="00B0146B">
      <w:pPr>
        <w:pStyle w:val="NoSpacing"/>
        <w:numPr>
          <w:ilvl w:val="0"/>
          <w:numId w:val="23"/>
        </w:numPr>
      </w:pPr>
      <w:r w:rsidRPr="00B80719">
        <w:t>Does participation in Coachbright tutoring improve self-reported motivation?</w:t>
      </w:r>
    </w:p>
    <w:p w14:paraId="7172A70C" w14:textId="513DAE5F" w:rsidR="00D20EDF" w:rsidRPr="00B80719" w:rsidRDefault="00D20EDF" w:rsidP="00B0146B">
      <w:pPr>
        <w:pStyle w:val="NoSpacing"/>
        <w:numPr>
          <w:ilvl w:val="0"/>
          <w:numId w:val="23"/>
        </w:numPr>
      </w:pPr>
      <w:r w:rsidRPr="00B80719">
        <w:t>Is participation in Coachbright tutoring linked to teacher reports of improved subject knowledge and confidence?</w:t>
      </w:r>
      <w:r w:rsidR="00EE49D8" w:rsidRPr="00B80719">
        <w:t xml:space="preserve"> (</w:t>
      </w:r>
      <w:r w:rsidR="000A180F" w:rsidRPr="00B80719">
        <w:rPr>
          <w:i/>
          <w:iCs/>
        </w:rPr>
        <w:t>Note</w:t>
      </w:r>
      <w:r w:rsidR="000A180F" w:rsidRPr="00B80719">
        <w:t>:</w:t>
      </w:r>
      <w:r w:rsidR="00EE49D8" w:rsidRPr="00B80719">
        <w:t xml:space="preserve"> due to data delays, this question will be addressed in future reports)</w:t>
      </w:r>
    </w:p>
    <w:p w14:paraId="061E8197" w14:textId="77777777" w:rsidR="00D20EDF" w:rsidRPr="00B80719" w:rsidRDefault="00D20EDF" w:rsidP="00374D1A">
      <w:pPr>
        <w:pStyle w:val="NoSpacing"/>
      </w:pPr>
    </w:p>
    <w:p w14:paraId="49ED40A7" w14:textId="0F7669F2" w:rsidR="00D20EDF" w:rsidRPr="00B80719" w:rsidRDefault="00D20EDF" w:rsidP="00374D1A">
      <w:pPr>
        <w:pStyle w:val="NoSpacing"/>
      </w:pPr>
      <w:r w:rsidRPr="00B80719">
        <w:t>Finally, key measures of success for the programme in the long term were as follows</w:t>
      </w:r>
      <w:r w:rsidR="00D66137" w:rsidRPr="00B80719">
        <w:t xml:space="preserve"> (note, these are not included in the current report but will be in future reports once the data is available)</w:t>
      </w:r>
      <w:r w:rsidRPr="00B80719">
        <w:t>:</w:t>
      </w:r>
    </w:p>
    <w:p w14:paraId="31C388BE" w14:textId="77777777" w:rsidR="00D20EDF" w:rsidRPr="00B80719" w:rsidRDefault="00D20EDF" w:rsidP="00374D1A">
      <w:pPr>
        <w:pStyle w:val="NoSpacing"/>
      </w:pPr>
    </w:p>
    <w:p w14:paraId="71309470" w14:textId="2498D15B" w:rsidR="00D20EDF" w:rsidRPr="00B80719" w:rsidRDefault="00D20EDF" w:rsidP="00B0146B">
      <w:pPr>
        <w:pStyle w:val="NoSpacing"/>
        <w:numPr>
          <w:ilvl w:val="0"/>
          <w:numId w:val="22"/>
        </w:numPr>
      </w:pPr>
      <w:r w:rsidRPr="00B80719">
        <w:t>Does participation in Coachbright tutoring increase GCSE attainment?</w:t>
      </w:r>
      <w:r w:rsidR="00E03623" w:rsidRPr="00B80719">
        <w:t xml:space="preserve"> </w:t>
      </w:r>
    </w:p>
    <w:p w14:paraId="176F2DB3" w14:textId="5FBB0417" w:rsidR="00D20EDF" w:rsidRPr="00B80719" w:rsidRDefault="00D20EDF" w:rsidP="00B0146B">
      <w:pPr>
        <w:pStyle w:val="NoSpacing"/>
        <w:numPr>
          <w:ilvl w:val="0"/>
          <w:numId w:val="22"/>
        </w:numPr>
      </w:pPr>
      <w:r w:rsidRPr="00B80719">
        <w:t>Does participation in Coachbright tutoring increase subsequent progression to Higher Education (specifically the University of Reading), compared to a benchmark of demographically similar applicants?</w:t>
      </w:r>
      <w:r w:rsidR="00EE49D8" w:rsidRPr="00B80719">
        <w:t xml:space="preserve"> </w:t>
      </w:r>
    </w:p>
    <w:p w14:paraId="4DB4DCD0" w14:textId="77777777" w:rsidR="00D20EDF" w:rsidRPr="00B80719" w:rsidRDefault="00D20EDF" w:rsidP="00374D1A">
      <w:pPr>
        <w:pStyle w:val="NoSpacing"/>
      </w:pPr>
    </w:p>
    <w:p w14:paraId="685A4325" w14:textId="108F092F" w:rsidR="00FA0BCB" w:rsidRPr="00B80719" w:rsidRDefault="00D20EDF" w:rsidP="70B11DE6">
      <w:pPr>
        <w:pStyle w:val="NoSpacing"/>
      </w:pPr>
      <w:r w:rsidRPr="00B80719">
        <w:t>The purpose of this evaluation report is to assess whether the 202</w:t>
      </w:r>
      <w:r w:rsidR="00520D01" w:rsidRPr="00B80719">
        <w:t>4</w:t>
      </w:r>
      <w:r w:rsidRPr="00B80719">
        <w:t>/202</w:t>
      </w:r>
      <w:r w:rsidR="00520D01" w:rsidRPr="00B80719">
        <w:t>5</w:t>
      </w:r>
      <w:r w:rsidRPr="00B80719">
        <w:t xml:space="preserve"> Coachbright tutoring programme was successful in achieving its </w:t>
      </w:r>
      <w:r w:rsidR="504720C7" w:rsidRPr="00B80719">
        <w:t>medium-term</w:t>
      </w:r>
      <w:r w:rsidRPr="00B80719">
        <w:t xml:space="preserve"> goals. Future evaluations of the programme will be aggregated to provide a robust assessment of the programme’s success in achieving its long term goals</w:t>
      </w:r>
      <w:r w:rsidR="00554EF8" w:rsidRPr="00B80719">
        <w:t>, once pupils who participated in the programme are at the stage where they’re progressing to Higher Education</w:t>
      </w:r>
      <w:r w:rsidR="00605F9E" w:rsidRPr="00B80719">
        <w:t xml:space="preserve"> and/or have completed their GCSEs (depending on whether they participated as Year 9s or as Year 11s, as appropriate).</w:t>
      </w:r>
      <w:r w:rsidR="003B6CDA" w:rsidRPr="00B80719">
        <w:t xml:space="preserve"> </w:t>
      </w:r>
    </w:p>
    <w:p w14:paraId="40162E68" w14:textId="77777777" w:rsidR="00FA0BCB" w:rsidRPr="00B80719" w:rsidRDefault="00FA0BCB" w:rsidP="70B11DE6">
      <w:pPr>
        <w:pStyle w:val="NoSpacing"/>
      </w:pPr>
    </w:p>
    <w:p w14:paraId="32024309" w14:textId="6B6A2791" w:rsidR="00FA0BCB" w:rsidRPr="00B80719" w:rsidRDefault="00FA0BCB" w:rsidP="00A96053">
      <w:pPr>
        <w:rPr>
          <w:rFonts w:ascii="Arial" w:hAnsi="Arial" w:cs="Arial"/>
          <w:b/>
          <w:bCs/>
        </w:rPr>
      </w:pPr>
      <w:r w:rsidRPr="00B80719">
        <w:rPr>
          <w:rFonts w:ascii="Arial" w:hAnsi="Arial" w:cs="Arial"/>
          <w:b/>
          <w:bCs/>
        </w:rPr>
        <w:t>Note on Teacher Feedback</w:t>
      </w:r>
    </w:p>
    <w:p w14:paraId="6A8651C3" w14:textId="354E933F" w:rsidR="00FA0BCB" w:rsidRPr="00B80719" w:rsidRDefault="00FA0BCB" w:rsidP="70B11DE6">
      <w:pPr>
        <w:pStyle w:val="NoSpacing"/>
      </w:pPr>
      <w:r w:rsidRPr="00B80719">
        <w:t>In the 2024/2025 cycle, no teacher feedback data was provided from Coachbright, either quantitatively or qualitatively.</w:t>
      </w:r>
      <w:r w:rsidR="009715F5" w:rsidRPr="00B80719">
        <w:t xml:space="preserve"> This means that no comparison to teacher </w:t>
      </w:r>
      <w:r w:rsidR="009715F5" w:rsidRPr="00B80719">
        <w:lastRenderedPageBreak/>
        <w:t>feedback obtained in the 2023/2024 cycle can be performed. This report will, therefore, focus on the quantitative feedback provided by participants pre- and post-programme, with comparisons to the 2023/2024 cycle provided where possible. This is under the proviso that, in the 2025/2026 cycle, more consistent data will be obtained from teachers by both Coachbright and the University of Reading.</w:t>
      </w:r>
    </w:p>
    <w:p w14:paraId="5FC9DFA3" w14:textId="38723598" w:rsidR="70B11DE6" w:rsidRPr="00B80719" w:rsidRDefault="70B11DE6" w:rsidP="70B11DE6">
      <w:pPr>
        <w:pStyle w:val="NoSpacing"/>
      </w:pPr>
    </w:p>
    <w:p w14:paraId="6E6CB1EF" w14:textId="6A25592C" w:rsidR="0076406C" w:rsidRPr="00B80719" w:rsidRDefault="0076406C" w:rsidP="00A96053">
      <w:pPr>
        <w:rPr>
          <w:rFonts w:ascii="Arial" w:hAnsi="Arial" w:cs="Arial"/>
          <w:b/>
          <w:bCs/>
          <w:i/>
          <w:iCs/>
        </w:rPr>
      </w:pPr>
      <w:r w:rsidRPr="00B80719">
        <w:rPr>
          <w:rFonts w:ascii="Arial" w:hAnsi="Arial" w:cs="Arial"/>
          <w:b/>
          <w:bCs/>
        </w:rPr>
        <w:t>Assessment of Impact</w:t>
      </w:r>
    </w:p>
    <w:p w14:paraId="1CCAF74B" w14:textId="13F88667" w:rsidR="0082487E" w:rsidRPr="00B80719" w:rsidRDefault="003B5753" w:rsidP="00374D1A">
      <w:pPr>
        <w:pStyle w:val="NoSpacing"/>
      </w:pPr>
      <w:r w:rsidRPr="00B80719">
        <w:t>Overall, the 202</w:t>
      </w:r>
      <w:r w:rsidR="00520D01" w:rsidRPr="00B80719">
        <w:t>4</w:t>
      </w:r>
      <w:r w:rsidRPr="00B80719">
        <w:t>/202</w:t>
      </w:r>
      <w:r w:rsidR="00520D01" w:rsidRPr="00B80719">
        <w:t>5</w:t>
      </w:r>
      <w:r w:rsidRPr="00B80719">
        <w:t xml:space="preserve"> Coachbright tutoring programme </w:t>
      </w:r>
      <w:r w:rsidR="006D2466" w:rsidRPr="00B80719">
        <w:t xml:space="preserve">may </w:t>
      </w:r>
      <w:r w:rsidRPr="00B80719">
        <w:t>have had a</w:t>
      </w:r>
      <w:r w:rsidR="00520D01" w:rsidRPr="00B80719">
        <w:t xml:space="preserve"> </w:t>
      </w:r>
      <w:r w:rsidR="00D51E51" w:rsidRPr="00B80719">
        <w:t xml:space="preserve">small </w:t>
      </w:r>
      <w:r w:rsidR="005C3D7E" w:rsidRPr="00B80719">
        <w:t>to negligible</w:t>
      </w:r>
      <w:r w:rsidR="00D51E51" w:rsidRPr="00B80719">
        <w:t xml:space="preserve"> positive effect on student attainment</w:t>
      </w:r>
      <w:r w:rsidR="00D63E28" w:rsidRPr="00B80719">
        <w:t>.</w:t>
      </w:r>
      <w:r w:rsidR="00FC131A" w:rsidRPr="00B80719">
        <w:t xml:space="preserve"> This may correlate, in the future, to higher achievement at GCSE and potentially an increased rate of participation in higher education.</w:t>
      </w:r>
      <w:r w:rsidR="00D63E28" w:rsidRPr="00B80719">
        <w:t xml:space="preserve"> </w:t>
      </w:r>
      <w:r w:rsidR="00E905BE" w:rsidRPr="00B80719">
        <w:t>However, across two of the three variables tested, no</w:t>
      </w:r>
      <w:r w:rsidR="006D2466" w:rsidRPr="00B80719">
        <w:t xml:space="preserve"> significant change was measured</w:t>
      </w:r>
      <w:r w:rsidR="005C3D7E" w:rsidRPr="00B80719">
        <w:t>, these being</w:t>
      </w:r>
      <w:r w:rsidR="006D2466" w:rsidRPr="00B80719">
        <w:t xml:space="preserve"> self-efficacy </w:t>
      </w:r>
      <w:r w:rsidR="005C3D7E" w:rsidRPr="00B80719">
        <w:t>and</w:t>
      </w:r>
      <w:r w:rsidR="006D2466" w:rsidRPr="00B80719">
        <w:t xml:space="preserve"> motivation.</w:t>
      </w:r>
    </w:p>
    <w:p w14:paraId="6A0A8881" w14:textId="77777777" w:rsidR="001C0F84" w:rsidRPr="00B80719" w:rsidRDefault="001C0F84" w:rsidP="00374D1A">
      <w:pPr>
        <w:pStyle w:val="NoSpacing"/>
      </w:pPr>
    </w:p>
    <w:p w14:paraId="424A1029" w14:textId="1CC90616" w:rsidR="001C0F84" w:rsidRPr="00B80719" w:rsidRDefault="00745972" w:rsidP="00374D1A">
      <w:pPr>
        <w:pStyle w:val="NoSpacing"/>
      </w:pPr>
      <w:r w:rsidRPr="00B80719">
        <w:t>A summary of th</w:t>
      </w:r>
      <w:r w:rsidR="008D3AB6" w:rsidRPr="00B80719">
        <w:t xml:space="preserve">e </w:t>
      </w:r>
      <w:r w:rsidRPr="00B80719">
        <w:t>impact is as follows</w:t>
      </w:r>
      <w:r w:rsidR="000F0487" w:rsidRPr="00B80719">
        <w:t xml:space="preserve"> </w:t>
      </w:r>
      <w:r w:rsidR="000E0CB7" w:rsidRPr="00B80719">
        <w:t>(Note, these are measured on a 7-point scale)</w:t>
      </w:r>
      <w:r w:rsidRPr="00B80719">
        <w:t>:</w:t>
      </w:r>
    </w:p>
    <w:p w14:paraId="024DD2C7" w14:textId="77777777" w:rsidR="00745972" w:rsidRPr="00B80719" w:rsidRDefault="00745972" w:rsidP="00374D1A">
      <w:pPr>
        <w:pStyle w:val="NoSpacing"/>
      </w:pPr>
    </w:p>
    <w:p w14:paraId="69D9F76B" w14:textId="34B2860B" w:rsidR="70B11DE6" w:rsidRPr="00B80719" w:rsidRDefault="005816D7" w:rsidP="00B0146B">
      <w:pPr>
        <w:pStyle w:val="NoSpacing"/>
        <w:numPr>
          <w:ilvl w:val="0"/>
          <w:numId w:val="19"/>
        </w:numPr>
      </w:pPr>
      <w:r w:rsidRPr="00B80719">
        <w:rPr>
          <w:b/>
          <w:bCs/>
        </w:rPr>
        <w:t xml:space="preserve">Metacognition: </w:t>
      </w:r>
      <w:r w:rsidRPr="00B80719">
        <w:t xml:space="preserve">For metacognition, </w:t>
      </w:r>
      <w:r w:rsidR="00FA5ACC" w:rsidRPr="00B80719">
        <w:t>a</w:t>
      </w:r>
      <w:r w:rsidR="00C45E70" w:rsidRPr="00B80719">
        <w:t xml:space="preserve"> small positive effect size of 0.29 was observed across 120</w:t>
      </w:r>
      <w:r w:rsidR="001E2810" w:rsidRPr="00B80719">
        <w:t xml:space="preserve"> surveyed pupils, indicating a</w:t>
      </w:r>
      <w:r w:rsidR="00A06F9C" w:rsidRPr="00B80719">
        <w:t xml:space="preserve"> potential</w:t>
      </w:r>
      <w:r w:rsidR="001E2810" w:rsidRPr="00B80719">
        <w:t xml:space="preserve"> small positive impact on participants’ self-reported metacognitive ability.</w:t>
      </w:r>
      <w:r w:rsidR="00CE363A" w:rsidRPr="00B80719">
        <w:t xml:space="preserve"> The </w:t>
      </w:r>
      <w:r w:rsidR="00EF41DD" w:rsidRPr="00B80719">
        <w:t xml:space="preserve">pre-programme mean </w:t>
      </w:r>
      <w:r w:rsidR="00474EDF" w:rsidRPr="00B80719">
        <w:t xml:space="preserve">average </w:t>
      </w:r>
      <w:r w:rsidR="00EF41DD" w:rsidRPr="00B80719">
        <w:t>score</w:t>
      </w:r>
      <w:r w:rsidR="00474EDF" w:rsidRPr="00B80719">
        <w:t xml:space="preserve"> across 12 questions</w:t>
      </w:r>
      <w:r w:rsidR="00EF41DD" w:rsidRPr="00B80719">
        <w:t xml:space="preserve"> of </w:t>
      </w:r>
      <w:r w:rsidR="00474EDF" w:rsidRPr="00B80719">
        <w:t>4.73</w:t>
      </w:r>
      <w:r w:rsidR="00EF41DD" w:rsidRPr="00B80719">
        <w:t xml:space="preserve"> increased to </w:t>
      </w:r>
      <w:r w:rsidR="00474EDF" w:rsidRPr="00B80719">
        <w:t>5.14</w:t>
      </w:r>
      <w:r w:rsidR="00671D83" w:rsidRPr="00B80719">
        <w:t>, an increase of</w:t>
      </w:r>
      <w:r w:rsidR="00C77DBE" w:rsidRPr="00B80719">
        <w:t xml:space="preserve"> 8.6</w:t>
      </w:r>
      <w:r w:rsidR="005473C5" w:rsidRPr="00B80719">
        <w:t>7</w:t>
      </w:r>
      <w:r w:rsidR="00C77DBE" w:rsidRPr="00B80719">
        <w:t xml:space="preserve">%. With a p value of </w:t>
      </w:r>
      <w:r w:rsidR="000D0067" w:rsidRPr="00B80719">
        <w:t>0.</w:t>
      </w:r>
      <w:r w:rsidR="00A06F9C" w:rsidRPr="00B80719">
        <w:t xml:space="preserve">00, well within the acceptable alpha of 0.05, this data </w:t>
      </w:r>
      <w:r w:rsidR="002C274E" w:rsidRPr="00B80719">
        <w:t>indicates a significant impact on metacognition</w:t>
      </w:r>
      <w:r w:rsidR="00A06F9C" w:rsidRPr="00B80719">
        <w:t>.</w:t>
      </w:r>
    </w:p>
    <w:p w14:paraId="3543E7F8" w14:textId="3DFA2973" w:rsidR="007B7DCD" w:rsidRPr="00B80719" w:rsidRDefault="001E730F" w:rsidP="00B0146B">
      <w:pPr>
        <w:pStyle w:val="NoSpacing"/>
        <w:numPr>
          <w:ilvl w:val="0"/>
          <w:numId w:val="19"/>
        </w:numPr>
      </w:pPr>
      <w:r w:rsidRPr="00B80719">
        <w:rPr>
          <w:b/>
          <w:bCs/>
        </w:rPr>
        <w:t xml:space="preserve">Self-Efficacy: </w:t>
      </w:r>
      <w:r w:rsidRPr="00B80719">
        <w:t xml:space="preserve">For self-efficacy, </w:t>
      </w:r>
      <w:r w:rsidR="00A06F9C" w:rsidRPr="00B80719">
        <w:t xml:space="preserve">a negligible positive effect size of 0.12 was observed across 118 surveyed pupils, indicating a potential minor positive impact on participants’ self-reported </w:t>
      </w:r>
      <w:r w:rsidR="00996E88" w:rsidRPr="00B80719">
        <w:t>self-efficacy</w:t>
      </w:r>
      <w:r w:rsidR="00A06F9C" w:rsidRPr="00B80719">
        <w:t>. The pre-programme mean</w:t>
      </w:r>
      <w:r w:rsidR="00B94A1D" w:rsidRPr="00B80719">
        <w:t xml:space="preserve"> average</w:t>
      </w:r>
      <w:r w:rsidR="00A06F9C" w:rsidRPr="00B80719">
        <w:t xml:space="preserve"> score</w:t>
      </w:r>
      <w:r w:rsidR="00B94A1D" w:rsidRPr="00B80719">
        <w:t xml:space="preserve"> across 9 questions</w:t>
      </w:r>
      <w:r w:rsidR="00A06F9C" w:rsidRPr="00B80719">
        <w:t xml:space="preserve"> of </w:t>
      </w:r>
      <w:r w:rsidR="00B94A1D" w:rsidRPr="00B80719">
        <w:t>5.00</w:t>
      </w:r>
      <w:r w:rsidR="00A06F9C" w:rsidRPr="00B80719">
        <w:t xml:space="preserve"> increased to </w:t>
      </w:r>
      <w:r w:rsidR="00B94A1D" w:rsidRPr="00B80719">
        <w:t>5.12</w:t>
      </w:r>
      <w:r w:rsidR="00A06F9C" w:rsidRPr="00B80719">
        <w:t xml:space="preserve">, an increase of </w:t>
      </w:r>
      <w:r w:rsidR="00996E88" w:rsidRPr="00B80719">
        <w:t>2.</w:t>
      </w:r>
      <w:r w:rsidR="00141FBC" w:rsidRPr="00B80719">
        <w:t>40</w:t>
      </w:r>
      <w:r w:rsidR="00A06F9C" w:rsidRPr="00B80719">
        <w:t>%. With a p value of 0.</w:t>
      </w:r>
      <w:r w:rsidR="00E00EDD" w:rsidRPr="00B80719">
        <w:t>11</w:t>
      </w:r>
      <w:r w:rsidR="00A06F9C" w:rsidRPr="00B80719">
        <w:t xml:space="preserve">, </w:t>
      </w:r>
      <w:r w:rsidR="00E00EDD" w:rsidRPr="00B80719">
        <w:t>however, which is not</w:t>
      </w:r>
      <w:r w:rsidR="00A06F9C" w:rsidRPr="00B80719">
        <w:t xml:space="preserve"> within the acceptable alpha of 0.05, </w:t>
      </w:r>
      <w:r w:rsidR="00534985" w:rsidRPr="00B80719">
        <w:t>there is no significant impact</w:t>
      </w:r>
      <w:r w:rsidR="00A06F9C" w:rsidRPr="00B80719">
        <w:t>.</w:t>
      </w:r>
    </w:p>
    <w:p w14:paraId="0D09A78B" w14:textId="25A25D79" w:rsidR="001E730F" w:rsidRPr="00B80719" w:rsidRDefault="001E730F" w:rsidP="00B0146B">
      <w:pPr>
        <w:pStyle w:val="NoSpacing"/>
        <w:numPr>
          <w:ilvl w:val="0"/>
          <w:numId w:val="19"/>
        </w:numPr>
      </w:pPr>
      <w:r w:rsidRPr="00B80719">
        <w:rPr>
          <w:b/>
          <w:bCs/>
        </w:rPr>
        <w:t>M</w:t>
      </w:r>
      <w:r w:rsidR="007B7DCD" w:rsidRPr="00B80719">
        <w:rPr>
          <w:b/>
          <w:bCs/>
        </w:rPr>
        <w:t>otivation</w:t>
      </w:r>
      <w:r w:rsidRPr="00B80719">
        <w:rPr>
          <w:b/>
          <w:bCs/>
        </w:rPr>
        <w:t xml:space="preserve">: </w:t>
      </w:r>
      <w:r w:rsidRPr="00B80719">
        <w:t>For m</w:t>
      </w:r>
      <w:r w:rsidR="007B7DCD" w:rsidRPr="00B80719">
        <w:t>otivation</w:t>
      </w:r>
      <w:r w:rsidRPr="00B80719">
        <w:t>,</w:t>
      </w:r>
      <w:r w:rsidR="001E3753" w:rsidRPr="00B80719">
        <w:t xml:space="preserve"> </w:t>
      </w:r>
      <w:r w:rsidR="00CE1610" w:rsidRPr="00B80719">
        <w:t>a negligible negative effect size of -0.06 was observed across 116 surveyed pupils, indicating a potential minor negative impact on participants’ self-reported motivation. The pre-programme mean</w:t>
      </w:r>
      <w:r w:rsidR="00B66FCA" w:rsidRPr="00B80719">
        <w:t xml:space="preserve"> average</w:t>
      </w:r>
      <w:r w:rsidR="00CE1610" w:rsidRPr="00B80719">
        <w:t xml:space="preserve"> score </w:t>
      </w:r>
      <w:r w:rsidR="00B66FCA" w:rsidRPr="00B80719">
        <w:t xml:space="preserve">across 9 questions </w:t>
      </w:r>
      <w:r w:rsidR="00CE1610" w:rsidRPr="00B80719">
        <w:t xml:space="preserve">of </w:t>
      </w:r>
      <w:r w:rsidR="00B66FCA" w:rsidRPr="00B80719">
        <w:t>5.18</w:t>
      </w:r>
      <w:r w:rsidR="00CE1610" w:rsidRPr="00B80719">
        <w:t xml:space="preserve"> </w:t>
      </w:r>
      <w:r w:rsidR="00BC1E2C" w:rsidRPr="00B80719">
        <w:t>de</w:t>
      </w:r>
      <w:r w:rsidR="00CE1610" w:rsidRPr="00B80719">
        <w:t xml:space="preserve">creased to </w:t>
      </w:r>
      <w:r w:rsidR="00B66FCA" w:rsidRPr="00B80719">
        <w:t>5.10</w:t>
      </w:r>
      <w:r w:rsidR="00CE1610" w:rsidRPr="00B80719">
        <w:t>, a</w:t>
      </w:r>
      <w:r w:rsidR="00BC1E2C" w:rsidRPr="00B80719">
        <w:t xml:space="preserve"> de</w:t>
      </w:r>
      <w:r w:rsidR="00CE1610" w:rsidRPr="00B80719">
        <w:t>crease of</w:t>
      </w:r>
      <w:r w:rsidR="00B66FCA" w:rsidRPr="00B80719">
        <w:t xml:space="preserve"> </w:t>
      </w:r>
      <w:r w:rsidR="00BC1E2C" w:rsidRPr="00B80719">
        <w:t>1.5</w:t>
      </w:r>
      <w:r w:rsidR="002A001D" w:rsidRPr="00B80719">
        <w:t>4</w:t>
      </w:r>
      <w:r w:rsidR="00CE1610" w:rsidRPr="00B80719">
        <w:t>%. With a p value of 0.</w:t>
      </w:r>
      <w:r w:rsidR="00395E10" w:rsidRPr="00B80719">
        <w:t>53</w:t>
      </w:r>
      <w:r w:rsidR="00982E45" w:rsidRPr="00B80719">
        <w:t>, however</w:t>
      </w:r>
      <w:r w:rsidR="00CE1610" w:rsidRPr="00B80719">
        <w:t xml:space="preserve">, </w:t>
      </w:r>
      <w:r w:rsidR="00982E45" w:rsidRPr="00B80719">
        <w:t xml:space="preserve">which is not </w:t>
      </w:r>
      <w:r w:rsidR="00CE1610" w:rsidRPr="00B80719">
        <w:t xml:space="preserve">within the acceptable alpha of 0.05, </w:t>
      </w:r>
      <w:r w:rsidR="00367C10" w:rsidRPr="00B80719">
        <w:t>the data shows no significant impact</w:t>
      </w:r>
      <w:r w:rsidR="00CE1610" w:rsidRPr="00B80719">
        <w:t>.</w:t>
      </w:r>
    </w:p>
    <w:p w14:paraId="2DABCE47" w14:textId="77777777" w:rsidR="001E730F" w:rsidRPr="00B80719" w:rsidRDefault="001E730F" w:rsidP="00374D1A">
      <w:pPr>
        <w:pStyle w:val="NoSpacing"/>
      </w:pPr>
    </w:p>
    <w:p w14:paraId="37F30E90" w14:textId="4E8CB587" w:rsidR="004D027A" w:rsidRPr="00B80719" w:rsidRDefault="009B1CBA" w:rsidP="00374D1A">
      <w:pPr>
        <w:pStyle w:val="NoSpacing"/>
      </w:pPr>
      <w:r w:rsidRPr="00B80719">
        <w:t xml:space="preserve">These results indicate </w:t>
      </w:r>
      <w:r w:rsidR="004B0E08" w:rsidRPr="00B80719">
        <w:t xml:space="preserve">that the Coachbright programme </w:t>
      </w:r>
      <w:r w:rsidR="00D43CC0" w:rsidRPr="00B80719">
        <w:t xml:space="preserve">may </w:t>
      </w:r>
      <w:r w:rsidR="004B0E08" w:rsidRPr="00B80719">
        <w:t>continue to have a positive impact on self-reported student attainment</w:t>
      </w:r>
      <w:r w:rsidR="00F77EE4" w:rsidRPr="00B80719">
        <w:t>-related concepts</w:t>
      </w:r>
      <w:r w:rsidR="004B0E08" w:rsidRPr="00B80719">
        <w:t xml:space="preserve"> in the medium term, with the caveat that participant motivation may have declined</w:t>
      </w:r>
      <w:r w:rsidR="00D43CC0" w:rsidRPr="00B80719">
        <w:t xml:space="preserve"> and the measure of self-efficacy</w:t>
      </w:r>
      <w:r w:rsidR="00B5318F" w:rsidRPr="00B80719">
        <w:t xml:space="preserve"> </w:t>
      </w:r>
      <w:r w:rsidR="000E0CB7" w:rsidRPr="00B80719">
        <w:t xml:space="preserve">and motivation are </w:t>
      </w:r>
      <w:r w:rsidR="00D43CC0" w:rsidRPr="00B80719">
        <w:t>not statistically significant</w:t>
      </w:r>
      <w:r w:rsidR="0082555B" w:rsidRPr="00B80719">
        <w:t>.</w:t>
      </w:r>
    </w:p>
    <w:p w14:paraId="44353702" w14:textId="77777777" w:rsidR="004D027A" w:rsidRPr="00B80719" w:rsidRDefault="004D027A" w:rsidP="00374D1A">
      <w:pPr>
        <w:pStyle w:val="NoSpacing"/>
      </w:pPr>
    </w:p>
    <w:p w14:paraId="5945021E" w14:textId="77777777" w:rsidR="0082555B" w:rsidRPr="00B80719" w:rsidRDefault="0082555B" w:rsidP="00374D1A">
      <w:pPr>
        <w:pStyle w:val="NoSpacing"/>
      </w:pPr>
    </w:p>
    <w:p w14:paraId="12614E7B" w14:textId="705A7E97" w:rsidR="00186513" w:rsidRPr="00B80719" w:rsidRDefault="0082555B" w:rsidP="00B0146B">
      <w:pPr>
        <w:pStyle w:val="NoSpacing"/>
        <w:numPr>
          <w:ilvl w:val="0"/>
          <w:numId w:val="20"/>
        </w:numPr>
      </w:pPr>
      <w:r w:rsidRPr="00B80719">
        <w:t>Compared to 2023/2024</w:t>
      </w:r>
      <w:r w:rsidR="00BB0818" w:rsidRPr="00B80719">
        <w:t>, a statistically significant increase in metacognition was observed, which is an improvement</w:t>
      </w:r>
      <w:r w:rsidR="005F4158" w:rsidRPr="00B80719">
        <w:t>. In addition, the one-question average</w:t>
      </w:r>
      <w:r w:rsidR="004D027A" w:rsidRPr="00B80719">
        <w:t xml:space="preserve"> </w:t>
      </w:r>
      <w:r w:rsidR="005F4158" w:rsidRPr="00B80719">
        <w:t>pre- and post-programme for 2024/2025 increased</w:t>
      </w:r>
      <w:r w:rsidR="004D027A" w:rsidRPr="00B80719">
        <w:t xml:space="preserve"> </w:t>
      </w:r>
      <w:r w:rsidR="2807E87E" w:rsidRPr="00B80719">
        <w:t>from 4.73 to 5.13</w:t>
      </w:r>
      <w:r w:rsidR="05D57CBA" w:rsidRPr="00B80719">
        <w:t>.</w:t>
      </w:r>
      <w:r w:rsidR="2807E87E" w:rsidRPr="00B80719">
        <w:t xml:space="preserve"> </w:t>
      </w:r>
    </w:p>
    <w:p w14:paraId="700EA430" w14:textId="7B337E8F" w:rsidR="003B141E" w:rsidRPr="00B80719" w:rsidRDefault="00186513" w:rsidP="00B0146B">
      <w:pPr>
        <w:pStyle w:val="NoSpacing"/>
        <w:numPr>
          <w:ilvl w:val="0"/>
          <w:numId w:val="20"/>
        </w:numPr>
      </w:pPr>
      <w:r w:rsidRPr="00B80719">
        <w:t xml:space="preserve">Compared to 2023/2024, </w:t>
      </w:r>
      <w:r w:rsidR="00BC4F7B" w:rsidRPr="00B80719">
        <w:t>the programme’s effe</w:t>
      </w:r>
      <w:r w:rsidR="660A5208" w:rsidRPr="00B80719">
        <w:t>c</w:t>
      </w:r>
      <w:r w:rsidR="00BC4F7B" w:rsidRPr="00B80719">
        <w:t>t size on self-efficacy decreased from 0.32 to 0.12, from a small positive to a negligible positive.</w:t>
      </w:r>
      <w:r w:rsidR="00062D1F" w:rsidRPr="00B80719">
        <w:t xml:space="preserve"> In addition, the one-question average pre- and post-programme for 2024/2025 demonstrated a smaller increase </w:t>
      </w:r>
      <w:r w:rsidR="657A3CE4" w:rsidRPr="00B80719">
        <w:t>from 4.99 to 5.11</w:t>
      </w:r>
      <w:r w:rsidR="003B141E" w:rsidRPr="00B80719">
        <w:t xml:space="preserve">. </w:t>
      </w:r>
      <w:r w:rsidR="003700AA" w:rsidRPr="00B80719">
        <w:t xml:space="preserve">Furthermore, the change </w:t>
      </w:r>
      <w:r w:rsidR="003700AA" w:rsidRPr="00B80719">
        <w:lastRenderedPageBreak/>
        <w:t xml:space="preserve">observed in 2024/2025 wasn’t statistically significant. </w:t>
      </w:r>
      <w:r w:rsidR="003B141E" w:rsidRPr="00B80719">
        <w:t>This is an area for improvement.</w:t>
      </w:r>
    </w:p>
    <w:p w14:paraId="58EA95F5" w14:textId="0E35F6BA" w:rsidR="003B141E" w:rsidRPr="00B80719" w:rsidRDefault="00B038F4" w:rsidP="00B0146B">
      <w:pPr>
        <w:pStyle w:val="NoSpacing"/>
        <w:numPr>
          <w:ilvl w:val="0"/>
          <w:numId w:val="20"/>
        </w:numPr>
      </w:pPr>
      <w:r w:rsidRPr="00B80719">
        <w:t>Compared to 2023/2024, the programme’s effect size on motivation</w:t>
      </w:r>
      <w:r w:rsidR="00D151A6" w:rsidRPr="00B80719">
        <w:t xml:space="preserve"> decreased from 0.30 to -0.06, from a small positive to a negligible negative. In addition, the one-question average pre- and post-programme for 2024/2025 demonstrated a decrease </w:t>
      </w:r>
      <w:r w:rsidR="667B10D2" w:rsidRPr="00B80719">
        <w:t>from 5.17 to 5.10</w:t>
      </w:r>
      <w:r w:rsidR="00A94409" w:rsidRPr="00B80719">
        <w:t xml:space="preserve">. </w:t>
      </w:r>
      <w:r w:rsidR="003700AA" w:rsidRPr="00B80719">
        <w:t xml:space="preserve">Furthermore, the change observed in 2024/2025 wasn’t statistically significant. </w:t>
      </w:r>
      <w:r w:rsidR="00A94409" w:rsidRPr="00B80719">
        <w:t>This is an area for improvement.</w:t>
      </w:r>
    </w:p>
    <w:p w14:paraId="53360598" w14:textId="77777777" w:rsidR="00F83BF4" w:rsidRPr="00B80719" w:rsidRDefault="00F83BF4" w:rsidP="00F83BF4">
      <w:pPr>
        <w:pStyle w:val="ListParagraph"/>
        <w:rPr>
          <w:rFonts w:ascii="Arial" w:hAnsi="Arial" w:cs="Arial"/>
        </w:rPr>
      </w:pPr>
    </w:p>
    <w:p w14:paraId="4EBA1149" w14:textId="67345C0B" w:rsidR="00F83BF4" w:rsidRPr="00B80719" w:rsidRDefault="00F83BF4" w:rsidP="00A96053">
      <w:pPr>
        <w:rPr>
          <w:rFonts w:ascii="Arial" w:hAnsi="Arial" w:cs="Arial"/>
          <w:b/>
          <w:bCs/>
        </w:rPr>
      </w:pPr>
      <w:r w:rsidRPr="00B80719">
        <w:rPr>
          <w:rFonts w:ascii="Arial" w:hAnsi="Arial" w:cs="Arial"/>
          <w:b/>
          <w:bCs/>
        </w:rPr>
        <w:t>Recommendations</w:t>
      </w:r>
    </w:p>
    <w:p w14:paraId="47D49D43" w14:textId="35BE8761" w:rsidR="00F83BF4" w:rsidRPr="00B80719" w:rsidRDefault="00F83BF4" w:rsidP="00B0146B">
      <w:pPr>
        <w:pStyle w:val="NoSpacing"/>
        <w:numPr>
          <w:ilvl w:val="0"/>
          <w:numId w:val="21"/>
        </w:numPr>
      </w:pPr>
      <w:r w:rsidRPr="00B80719">
        <w:t>An increased focus on self-efficacy and motivation, both of which have declined in comparison to the 2023/2024 cohort.</w:t>
      </w:r>
    </w:p>
    <w:p w14:paraId="590F0FA4" w14:textId="70BD4512" w:rsidR="00F83BF4" w:rsidRPr="00B80719" w:rsidRDefault="00F83BF4" w:rsidP="00B0146B">
      <w:pPr>
        <w:pStyle w:val="NoSpacing"/>
        <w:numPr>
          <w:ilvl w:val="0"/>
          <w:numId w:val="21"/>
        </w:numPr>
      </w:pPr>
      <w:r w:rsidRPr="00B80719">
        <w:t>Consistent reporting of data, to allow for more meaningful comparisons to be drawn between medium-term goals during each cycle.</w:t>
      </w:r>
    </w:p>
    <w:p w14:paraId="6F81A191" w14:textId="43AC2FD4" w:rsidR="00F83BF4" w:rsidRPr="00B80719" w:rsidRDefault="00F83BF4" w:rsidP="00B0146B">
      <w:pPr>
        <w:pStyle w:val="NoSpacing"/>
        <w:numPr>
          <w:ilvl w:val="0"/>
          <w:numId w:val="21"/>
        </w:numPr>
      </w:pPr>
      <w:r w:rsidRPr="00B80719">
        <w:t>Acquire attainment and access HEAT data for Coachbright participants, allowing for analysis of the long-term goals of the programme.</w:t>
      </w:r>
    </w:p>
    <w:p w14:paraId="6C32F7D9" w14:textId="19D56C55" w:rsidR="00F83BF4" w:rsidRPr="00B80719" w:rsidRDefault="00F83BF4" w:rsidP="00B0146B">
      <w:pPr>
        <w:pStyle w:val="NoSpacing"/>
        <w:numPr>
          <w:ilvl w:val="0"/>
          <w:numId w:val="21"/>
        </w:numPr>
      </w:pPr>
      <w:r w:rsidRPr="00B80719">
        <w:t>Continue to build on the successes of the programme in terms of metacognition, which has improved as of 2024/2025</w:t>
      </w:r>
      <w:r w:rsidR="00760AC7" w:rsidRPr="00B80719">
        <w:t>.</w:t>
      </w:r>
    </w:p>
    <w:p w14:paraId="30F83816" w14:textId="1C0F58EE" w:rsidR="00365462" w:rsidRPr="00B80719" w:rsidRDefault="00C124E6" w:rsidP="00C124E6">
      <w:pPr>
        <w:rPr>
          <w:rFonts w:ascii="Arial" w:hAnsi="Arial" w:cs="Arial"/>
        </w:rPr>
      </w:pPr>
      <w:r w:rsidRPr="00B80719">
        <w:rPr>
          <w:rFonts w:ascii="Arial" w:hAnsi="Arial" w:cs="Arial"/>
        </w:rPr>
        <w:br w:type="page"/>
      </w:r>
    </w:p>
    <w:p w14:paraId="5F89E076" w14:textId="0ABAFF48" w:rsidR="00BF6A9D" w:rsidRPr="00B80719" w:rsidRDefault="00D61292" w:rsidP="0075773B">
      <w:pPr>
        <w:pStyle w:val="Heading1"/>
        <w:jc w:val="left"/>
        <w:rPr>
          <w:rFonts w:ascii="Arial" w:hAnsi="Arial" w:cs="Arial"/>
          <w:color w:val="D2002E"/>
          <w:sz w:val="44"/>
          <w:szCs w:val="44"/>
        </w:rPr>
      </w:pPr>
      <w:bookmarkStart w:id="1" w:name="_Toc220493475"/>
      <w:r w:rsidRPr="00B80719">
        <w:rPr>
          <w:rFonts w:ascii="Arial" w:hAnsi="Arial" w:cs="Arial"/>
          <w:color w:val="D2002E"/>
          <w:sz w:val="44"/>
          <w:szCs w:val="44"/>
        </w:rPr>
        <w:lastRenderedPageBreak/>
        <w:t>Introduction</w:t>
      </w:r>
      <w:bookmarkEnd w:id="1"/>
      <w:r w:rsidRPr="00B80719">
        <w:rPr>
          <w:rFonts w:ascii="Arial" w:hAnsi="Arial" w:cs="Arial"/>
          <w:color w:val="D2002E"/>
          <w:sz w:val="44"/>
          <w:szCs w:val="44"/>
        </w:rPr>
        <w:t xml:space="preserve"> </w:t>
      </w:r>
    </w:p>
    <w:p w14:paraId="4B8BCD8E" w14:textId="00A9B6F5" w:rsidR="00300E02" w:rsidRPr="00B80719" w:rsidRDefault="00300E02" w:rsidP="00132506">
      <w:pPr>
        <w:pStyle w:val="Heading2"/>
        <w:jc w:val="left"/>
      </w:pPr>
      <w:bookmarkStart w:id="2" w:name="_Toc220493476"/>
      <w:r w:rsidRPr="00B80719">
        <w:t>Rationale</w:t>
      </w:r>
      <w:bookmarkEnd w:id="2"/>
      <w:r w:rsidRPr="00B80719">
        <w:tab/>
      </w:r>
      <w:r w:rsidRPr="00B80719">
        <w:tab/>
      </w:r>
    </w:p>
    <w:p w14:paraId="2E77D46A" w14:textId="75A570D9" w:rsidR="00300E02" w:rsidRPr="00B80719" w:rsidRDefault="00300E02" w:rsidP="00374D1A">
      <w:pPr>
        <w:pStyle w:val="NoSpacing"/>
      </w:pPr>
      <w:r w:rsidRPr="00B80719">
        <w:t xml:space="preserve">There are barriers to accessing </w:t>
      </w:r>
      <w:r w:rsidR="00552E81" w:rsidRPr="00B80719">
        <w:t>higher education (</w:t>
      </w:r>
      <w:r w:rsidRPr="00B80719">
        <w:t>HE</w:t>
      </w:r>
      <w:r w:rsidR="00552E81" w:rsidRPr="00B80719">
        <w:t>)</w:t>
      </w:r>
      <w:r w:rsidRPr="00B80719">
        <w:t xml:space="preserve"> for some student groups, such as young people at KS4 in receipt of </w:t>
      </w:r>
      <w:r w:rsidR="00552E81" w:rsidRPr="00B80719">
        <w:t>Free School Meals (</w:t>
      </w:r>
      <w:r w:rsidRPr="00B80719">
        <w:t>FSM</w:t>
      </w:r>
      <w:r w:rsidR="008104A1" w:rsidRPr="00B80719">
        <w:t xml:space="preserve">), those </w:t>
      </w:r>
      <w:r w:rsidRPr="00B80719">
        <w:t>in IMD Q1</w:t>
      </w:r>
      <w:r w:rsidR="008104A1" w:rsidRPr="00B80719">
        <w:t xml:space="preserve"> &amp; Q2,</w:t>
      </w:r>
      <w:r w:rsidRPr="00B80719">
        <w:t xml:space="preserve"> and Black students. Raising attainment is crucial to overcoming these barriers; tutoring is one way to boost attainment. There is considerable evidence on the impact of tutoring; for example, evidence from the Education Endowment Foundation </w:t>
      </w:r>
      <w:r w:rsidR="00E0448F" w:rsidRPr="00B80719">
        <w:t xml:space="preserve">(2022) </w:t>
      </w:r>
      <w:r w:rsidRPr="00B80719">
        <w:t xml:space="preserve">suggests that one-to-one tutoring can add up to 5 </w:t>
      </w:r>
      <w:r w:rsidR="00767045" w:rsidRPr="00B80719">
        <w:t>months’ worth of</w:t>
      </w:r>
      <w:r w:rsidRPr="00B80719">
        <w:t xml:space="preserve"> progress</w:t>
      </w:r>
      <w:r w:rsidR="00767045" w:rsidRPr="00B80719">
        <w:t xml:space="preserve"> in terms of student attainment</w:t>
      </w:r>
      <w:r w:rsidRPr="00B80719">
        <w:t xml:space="preserve">, whilst small group tuition can </w:t>
      </w:r>
      <w:r w:rsidR="00767045" w:rsidRPr="00B80719">
        <w:t>add up to</w:t>
      </w:r>
      <w:r w:rsidRPr="00B80719">
        <w:t xml:space="preserve"> 4 months</w:t>
      </w:r>
      <w:r w:rsidR="00767045" w:rsidRPr="00B80719">
        <w:t>’ worth of</w:t>
      </w:r>
      <w:r w:rsidRPr="00B80719">
        <w:t xml:space="preserve"> progress</w:t>
      </w:r>
      <w:r w:rsidR="00AE4B2A" w:rsidRPr="00B80719">
        <w:t xml:space="preserve">. </w:t>
      </w:r>
      <w:r w:rsidR="0086290B" w:rsidRPr="00B80719">
        <w:t>Evaluation conducted by C</w:t>
      </w:r>
      <w:r w:rsidRPr="00B80719">
        <w:t xml:space="preserve">oachbright </w:t>
      </w:r>
      <w:r w:rsidR="0086290B" w:rsidRPr="00B80719">
        <w:t xml:space="preserve">itself </w:t>
      </w:r>
      <w:r w:rsidRPr="00B80719">
        <w:t>also suggest</w:t>
      </w:r>
      <w:r w:rsidR="0086290B" w:rsidRPr="00B80719">
        <w:t>s</w:t>
      </w:r>
      <w:r w:rsidRPr="00B80719">
        <w:t xml:space="preserve"> </w:t>
      </w:r>
      <w:r w:rsidR="6F2D7125" w:rsidRPr="00B80719">
        <w:t>a significant impact</w:t>
      </w:r>
      <w:r w:rsidRPr="00B80719">
        <w:t xml:space="preserve"> in each of the intermediate outcomes</w:t>
      </w:r>
      <w:r w:rsidR="0086290B" w:rsidRPr="00B80719">
        <w:t xml:space="preserve"> of its tutoring programme</w:t>
      </w:r>
      <w:r w:rsidRPr="00B80719">
        <w:t xml:space="preserve"> and on </w:t>
      </w:r>
      <w:r w:rsidR="0086290B" w:rsidRPr="00B80719">
        <w:t xml:space="preserve">participants’ </w:t>
      </w:r>
      <w:r w:rsidRPr="00B80719">
        <w:t>GCSE results.</w:t>
      </w:r>
    </w:p>
    <w:p w14:paraId="44EFDC65" w14:textId="77777777" w:rsidR="00AE4B2A" w:rsidRPr="00B80719" w:rsidRDefault="00AE4B2A" w:rsidP="00374D1A">
      <w:pPr>
        <w:pStyle w:val="NoSpacing"/>
      </w:pPr>
    </w:p>
    <w:p w14:paraId="461CB3AF" w14:textId="40C8AD7A" w:rsidR="00300E02" w:rsidRPr="00B80719" w:rsidRDefault="00BB3937" w:rsidP="70B11DE6">
      <w:pPr>
        <w:pStyle w:val="NoSpacing"/>
      </w:pPr>
      <w:r w:rsidRPr="00B80719">
        <w:t>According to the T</w:t>
      </w:r>
      <w:r w:rsidR="00300E02" w:rsidRPr="00B80719">
        <w:t xml:space="preserve">ASO </w:t>
      </w:r>
      <w:r w:rsidR="00E0448F" w:rsidRPr="00B80719">
        <w:t xml:space="preserve">(2024) </w:t>
      </w:r>
      <w:r w:rsidR="00300E02" w:rsidRPr="00B80719">
        <w:t>recommendations on tutoring</w:t>
      </w:r>
      <w:r w:rsidRPr="00B80719">
        <w:t>,</w:t>
      </w:r>
      <w:r w:rsidR="00300E02" w:rsidRPr="00B80719">
        <w:t xml:space="preserve"> </w:t>
      </w:r>
      <w:r w:rsidR="0020631D" w:rsidRPr="00B80719">
        <w:t>“O</w:t>
      </w:r>
      <w:r w:rsidR="00300E02" w:rsidRPr="00B80719">
        <w:t>verall, international literature from the US and Europe points towards a strong link between academic tutoring and attainment, particularly demonstrating the benefits of cross-age tutoring delivered by university students. However, the literature also suggests that programmes should be designed to foster collaborative relationships between tutors and tutees (Gartland, 2015), and that tutoring can be most effective when targeted at disadvantaged students, particularly those who lack family support from adults. The evidence from studies conducted in the UK is more mixed and limited, and thus future research will need to look specifically into evaluating university-led tutoring programmes and focus on how these programmes are designed and which students are targeted.</w:t>
      </w:r>
      <w:r w:rsidR="008E70CD" w:rsidRPr="00B80719">
        <w:t>”</w:t>
      </w:r>
    </w:p>
    <w:p w14:paraId="56261DDC" w14:textId="77777777" w:rsidR="00300E02" w:rsidRPr="00B80719" w:rsidRDefault="00300E02" w:rsidP="00374D1A">
      <w:pPr>
        <w:pStyle w:val="NoSpacing"/>
        <w:rPr>
          <w:rStyle w:val="normaltextrun"/>
          <w:color w:val="000000"/>
          <w:szCs w:val="28"/>
          <w:shd w:val="clear" w:color="auto" w:fill="FFFFFF"/>
        </w:rPr>
      </w:pPr>
    </w:p>
    <w:p w14:paraId="0F54603C" w14:textId="77FB9399" w:rsidR="00300E02" w:rsidRPr="00B80719" w:rsidRDefault="00300E02" w:rsidP="00374D1A">
      <w:pPr>
        <w:pStyle w:val="NoSpacing"/>
        <w:rPr>
          <w:rStyle w:val="normaltextrun"/>
          <w:color w:val="000000"/>
          <w:szCs w:val="28"/>
          <w:shd w:val="clear" w:color="auto" w:fill="FFFFFF"/>
        </w:rPr>
      </w:pPr>
      <w:r w:rsidRPr="00B80719">
        <w:rPr>
          <w:rStyle w:val="normaltextrun"/>
          <w:color w:val="000000"/>
          <w:szCs w:val="28"/>
          <w:shd w:val="clear" w:color="auto" w:fill="FFFFFF"/>
        </w:rPr>
        <w:t xml:space="preserve">Additionally, within </w:t>
      </w:r>
      <w:r w:rsidR="0018367F" w:rsidRPr="00B80719">
        <w:rPr>
          <w:rStyle w:val="normaltextrun"/>
          <w:color w:val="000000"/>
          <w:szCs w:val="28"/>
          <w:shd w:val="clear" w:color="auto" w:fill="FFFFFF"/>
        </w:rPr>
        <w:t>the University of Reading</w:t>
      </w:r>
      <w:r w:rsidRPr="00B80719">
        <w:rPr>
          <w:rStyle w:val="normaltextrun"/>
          <w:color w:val="000000"/>
          <w:szCs w:val="28"/>
          <w:shd w:val="clear" w:color="auto" w:fill="FFFFFF"/>
        </w:rPr>
        <w:t xml:space="preserve">, Coachbright tutoring commenced in the 22/23 cycle, and early data </w:t>
      </w:r>
      <w:r w:rsidR="00AB7A36" w:rsidRPr="00B80719">
        <w:rPr>
          <w:rStyle w:val="normaltextrun"/>
          <w:color w:val="000000"/>
          <w:szCs w:val="28"/>
          <w:shd w:val="clear" w:color="auto" w:fill="FFFFFF"/>
        </w:rPr>
        <w:t>showed</w:t>
      </w:r>
      <w:r w:rsidRPr="00B80719">
        <w:rPr>
          <w:rStyle w:val="normaltextrun"/>
          <w:color w:val="000000"/>
          <w:szCs w:val="28"/>
          <w:shd w:val="clear" w:color="auto" w:fill="FFFFFF"/>
        </w:rPr>
        <w:t xml:space="preserve"> that after 10 sessions with </w:t>
      </w:r>
      <w:r w:rsidRPr="00B80719">
        <w:rPr>
          <w:rStyle w:val="normaltextrun"/>
          <w:b/>
          <w:bCs/>
          <w:color w:val="000000"/>
          <w:szCs w:val="28"/>
          <w:shd w:val="clear" w:color="auto" w:fill="FFFFFF"/>
        </w:rPr>
        <w:t xml:space="preserve">one </w:t>
      </w:r>
      <w:r w:rsidRPr="00B80719">
        <w:rPr>
          <w:rStyle w:val="normaltextrun"/>
          <w:color w:val="000000"/>
          <w:szCs w:val="28"/>
          <w:shd w:val="clear" w:color="auto" w:fill="FFFFFF"/>
        </w:rPr>
        <w:t>of our target schools:</w:t>
      </w:r>
    </w:p>
    <w:p w14:paraId="32FC9312" w14:textId="77777777" w:rsidR="00300E02" w:rsidRPr="00B80719" w:rsidRDefault="00300E02" w:rsidP="00B0146B">
      <w:pPr>
        <w:pStyle w:val="NoSpacing"/>
        <w:numPr>
          <w:ilvl w:val="0"/>
          <w:numId w:val="25"/>
        </w:numPr>
        <w:rPr>
          <w:rStyle w:val="normaltextrun"/>
        </w:rPr>
      </w:pPr>
      <w:r w:rsidRPr="00B80719">
        <w:rPr>
          <w:rStyle w:val="normaltextrun"/>
          <w:color w:val="000000"/>
          <w:shd w:val="clear" w:color="auto" w:fill="FFFFFF"/>
        </w:rPr>
        <w:t>From pre-programme measures to post-programme measures, there was a 30.4% increase in pupil confidence</w:t>
      </w:r>
    </w:p>
    <w:p w14:paraId="1EA2F900" w14:textId="77777777" w:rsidR="00300E02" w:rsidRPr="00B80719" w:rsidRDefault="00300E02" w:rsidP="00B0146B">
      <w:pPr>
        <w:pStyle w:val="NoSpacing"/>
        <w:numPr>
          <w:ilvl w:val="0"/>
          <w:numId w:val="25"/>
        </w:numPr>
        <w:rPr>
          <w:rStyle w:val="normaltextrun"/>
          <w:szCs w:val="28"/>
        </w:rPr>
      </w:pPr>
      <w:r w:rsidRPr="00B80719">
        <w:rPr>
          <w:rStyle w:val="normaltextrun"/>
          <w:color w:val="000000"/>
          <w:szCs w:val="28"/>
          <w:shd w:val="clear" w:color="auto" w:fill="FFFFFF"/>
        </w:rPr>
        <w:t>From pre-programme measures to post-programme measures, there was a 19.6% increase in pupil resilience</w:t>
      </w:r>
    </w:p>
    <w:p w14:paraId="225FEDD8" w14:textId="01EB0CD7" w:rsidR="00300E02" w:rsidRPr="00B80719" w:rsidRDefault="00300E02" w:rsidP="00B0146B">
      <w:pPr>
        <w:pStyle w:val="NoSpacing"/>
        <w:numPr>
          <w:ilvl w:val="0"/>
          <w:numId w:val="25"/>
        </w:numPr>
        <w:rPr>
          <w:rStyle w:val="eop"/>
        </w:rPr>
      </w:pPr>
      <w:r w:rsidRPr="00B80719">
        <w:rPr>
          <w:rStyle w:val="normaltextrun"/>
          <w:color w:val="000000"/>
          <w:shd w:val="clear" w:color="auto" w:fill="FFFFFF"/>
        </w:rPr>
        <w:t>From pre-programme measures to post-programme measures, there was a 16.7% increase in pupil independence (metacognition).</w:t>
      </w:r>
    </w:p>
    <w:p w14:paraId="6C5517BF" w14:textId="46017F1A" w:rsidR="00300E02" w:rsidRPr="00B80719" w:rsidRDefault="00300E02" w:rsidP="7510C0C7">
      <w:pPr>
        <w:pStyle w:val="NoSpacing"/>
        <w:rPr>
          <w:rStyle w:val="normaltextrun"/>
          <w:color w:val="000000" w:themeColor="text1"/>
        </w:rPr>
      </w:pPr>
    </w:p>
    <w:p w14:paraId="60CD0CCC" w14:textId="4FFC6051" w:rsidR="00300E02" w:rsidRPr="00B80719" w:rsidRDefault="4BB29543" w:rsidP="7510C0C7">
      <w:pPr>
        <w:pStyle w:val="NoSpacing"/>
        <w:ind w:firstLine="720"/>
        <w:rPr>
          <w:rStyle w:val="eop"/>
        </w:rPr>
      </w:pPr>
      <w:r w:rsidRPr="00B80719">
        <w:rPr>
          <w:rStyle w:val="normaltextrun"/>
          <w:i/>
          <w:iCs/>
          <w:color w:val="000000"/>
          <w:shd w:val="clear" w:color="auto" w:fill="FFFFFF"/>
        </w:rPr>
        <w:t>N.B. For the 2022/2023 cycle, mean average data was not provided to the University of Reading by Coachbright. We must, therefore, work off percentage increases for evaluation of this academic year.</w:t>
      </w:r>
      <w:r w:rsidR="00300E02" w:rsidRPr="00B80719">
        <w:rPr>
          <w:rStyle w:val="normaltextrun"/>
          <w:color w:val="000000"/>
          <w:shd w:val="clear" w:color="auto" w:fill="FFFFFF"/>
        </w:rPr>
        <w:t> </w:t>
      </w:r>
      <w:r w:rsidR="00300E02" w:rsidRPr="00B80719">
        <w:rPr>
          <w:rStyle w:val="eop"/>
          <w:color w:val="000000"/>
          <w:shd w:val="clear" w:color="auto" w:fill="FFFFFF"/>
        </w:rPr>
        <w:t> </w:t>
      </w:r>
    </w:p>
    <w:p w14:paraId="408B4B64" w14:textId="77777777" w:rsidR="00C13485" w:rsidRPr="00B80719" w:rsidRDefault="00C13485" w:rsidP="00C13485">
      <w:pPr>
        <w:pStyle w:val="NoSpacing"/>
        <w:rPr>
          <w:rStyle w:val="eop"/>
          <w:color w:val="000000"/>
          <w:szCs w:val="28"/>
          <w:shd w:val="clear" w:color="auto" w:fill="FFFFFF"/>
        </w:rPr>
      </w:pPr>
    </w:p>
    <w:p w14:paraId="0F7746D6" w14:textId="347C4125" w:rsidR="00C13485" w:rsidRPr="00B80719" w:rsidRDefault="00C13485" w:rsidP="00C13485">
      <w:pPr>
        <w:pStyle w:val="NoSpacing"/>
        <w:rPr>
          <w:rStyle w:val="eop"/>
          <w:color w:val="000000"/>
          <w:szCs w:val="28"/>
          <w:shd w:val="clear" w:color="auto" w:fill="FFFFFF"/>
        </w:rPr>
      </w:pPr>
      <w:r w:rsidRPr="00B80719">
        <w:rPr>
          <w:rStyle w:val="eop"/>
          <w:color w:val="000000"/>
          <w:szCs w:val="28"/>
          <w:shd w:val="clear" w:color="auto" w:fill="FFFFFF"/>
        </w:rPr>
        <w:t>Furthermore, as of the 23/24 cycle, data showed that, across participating schools:</w:t>
      </w:r>
    </w:p>
    <w:p w14:paraId="196D9711" w14:textId="2478DBB9" w:rsidR="00C13485" w:rsidRPr="00B80719" w:rsidRDefault="009D5B9B" w:rsidP="00B0146B">
      <w:pPr>
        <w:pStyle w:val="NoSpacing"/>
        <w:numPr>
          <w:ilvl w:val="0"/>
          <w:numId w:val="26"/>
        </w:numPr>
        <w:rPr>
          <w:rStyle w:val="eop"/>
          <w:szCs w:val="28"/>
        </w:rPr>
      </w:pPr>
      <w:r w:rsidRPr="00B80719">
        <w:rPr>
          <w:rStyle w:val="eop"/>
          <w:color w:val="000000"/>
          <w:szCs w:val="28"/>
          <w:shd w:val="clear" w:color="auto" w:fill="FFFFFF"/>
        </w:rPr>
        <w:t xml:space="preserve">The mean average score for metacognition across 12 questions increased from 5.30 to 5.49 (an increase of </w:t>
      </w:r>
      <w:r w:rsidR="00261FA7" w:rsidRPr="00B80719">
        <w:rPr>
          <w:rStyle w:val="eop"/>
          <w:color w:val="000000"/>
          <w:szCs w:val="28"/>
          <w:shd w:val="clear" w:color="auto" w:fill="FFFFFF"/>
        </w:rPr>
        <w:t>3.5%).</w:t>
      </w:r>
    </w:p>
    <w:p w14:paraId="251E485B" w14:textId="7D0037C7" w:rsidR="00C755BB" w:rsidRPr="00B80719" w:rsidRDefault="00C755BB" w:rsidP="00B0146B">
      <w:pPr>
        <w:pStyle w:val="NoSpacing"/>
        <w:numPr>
          <w:ilvl w:val="0"/>
          <w:numId w:val="26"/>
        </w:numPr>
        <w:rPr>
          <w:rStyle w:val="eop"/>
          <w:szCs w:val="28"/>
        </w:rPr>
      </w:pPr>
      <w:r w:rsidRPr="00B80719">
        <w:rPr>
          <w:rStyle w:val="eop"/>
          <w:color w:val="000000"/>
          <w:szCs w:val="28"/>
          <w:shd w:val="clear" w:color="auto" w:fill="FFFFFF"/>
        </w:rPr>
        <w:t xml:space="preserve">The mean average score for self-efficacy across 9 questions increased from 5.38 to 5.70 (an increase of </w:t>
      </w:r>
      <w:r w:rsidR="00F15958" w:rsidRPr="00B80719">
        <w:rPr>
          <w:rStyle w:val="eop"/>
          <w:color w:val="000000"/>
          <w:szCs w:val="28"/>
          <w:shd w:val="clear" w:color="auto" w:fill="FFFFFF"/>
        </w:rPr>
        <w:t>5.9%), with a positive effect size of 0.32 within the 0.05 alpha.</w:t>
      </w:r>
    </w:p>
    <w:p w14:paraId="28D4932A" w14:textId="23029FDD" w:rsidR="00F15958" w:rsidRPr="00B80719" w:rsidRDefault="00F15958" w:rsidP="00B0146B">
      <w:pPr>
        <w:pStyle w:val="NoSpacing"/>
        <w:numPr>
          <w:ilvl w:val="0"/>
          <w:numId w:val="26"/>
        </w:numPr>
        <w:rPr>
          <w:rStyle w:val="eop"/>
          <w:szCs w:val="28"/>
        </w:rPr>
      </w:pPr>
      <w:r w:rsidRPr="00B80719">
        <w:rPr>
          <w:rStyle w:val="eop"/>
          <w:color w:val="000000"/>
          <w:szCs w:val="28"/>
          <w:shd w:val="clear" w:color="auto" w:fill="FFFFFF"/>
        </w:rPr>
        <w:lastRenderedPageBreak/>
        <w:t xml:space="preserve">The mean average score for motivation across 9 questions increased from 5.17 to 5.58 (an increase of </w:t>
      </w:r>
      <w:r w:rsidR="002768F6" w:rsidRPr="00B80719">
        <w:rPr>
          <w:rStyle w:val="eop"/>
          <w:color w:val="000000"/>
          <w:szCs w:val="28"/>
          <w:shd w:val="clear" w:color="auto" w:fill="FFFFFF"/>
        </w:rPr>
        <w:t>7.9%), with a positive effect size of 0.30 within the 0.05 alpha.</w:t>
      </w:r>
    </w:p>
    <w:p w14:paraId="63C4B16B" w14:textId="77777777" w:rsidR="00FF57B0" w:rsidRPr="00B80719" w:rsidRDefault="00FF57B0" w:rsidP="00FF57B0">
      <w:pPr>
        <w:pStyle w:val="NoSpacing"/>
        <w:rPr>
          <w:rStyle w:val="eop"/>
          <w:color w:val="000000"/>
          <w:szCs w:val="28"/>
          <w:shd w:val="clear" w:color="auto" w:fill="FFFFFF"/>
        </w:rPr>
      </w:pPr>
    </w:p>
    <w:p w14:paraId="5D3C3D86" w14:textId="412DBBA1" w:rsidR="00FF57B0" w:rsidRPr="00B80719" w:rsidRDefault="00FF57B0" w:rsidP="7510C0C7">
      <w:pPr>
        <w:pStyle w:val="NoSpacing"/>
        <w:rPr>
          <w:rStyle w:val="eop"/>
        </w:rPr>
      </w:pPr>
      <w:r w:rsidRPr="00B80719">
        <w:rPr>
          <w:rStyle w:val="eop"/>
          <w:color w:val="000000"/>
          <w:shd w:val="clear" w:color="auto" w:fill="FFFFFF"/>
        </w:rPr>
        <w:t>This data indicates that the Coachbright tutoring programme may have a small to moderate positive impact on student attainment, which may translate to increased access to HE and increased attainment at GCSE and A Level.</w:t>
      </w:r>
    </w:p>
    <w:p w14:paraId="5EDBFACA" w14:textId="6C678129" w:rsidR="00AE4B2A" w:rsidRPr="00B80719" w:rsidRDefault="00AE4B2A" w:rsidP="7510C0C7">
      <w:pPr>
        <w:pStyle w:val="NoSpacing"/>
        <w:rPr>
          <w:rStyle w:val="eop"/>
          <w:color w:val="000000" w:themeColor="text1"/>
        </w:rPr>
      </w:pPr>
    </w:p>
    <w:p w14:paraId="7A3F21CC" w14:textId="74D7400E" w:rsidR="00AE4B2A" w:rsidRPr="00EE6750" w:rsidRDefault="0E2E44A9" w:rsidP="00132506">
      <w:pPr>
        <w:pStyle w:val="Heading2"/>
        <w:jc w:val="left"/>
      </w:pPr>
      <w:r w:rsidRPr="00EE6750">
        <w:t>Context</w:t>
      </w:r>
    </w:p>
    <w:p w14:paraId="47E5EB23" w14:textId="106DDB53" w:rsidR="00AE4B2A" w:rsidRPr="00B80719" w:rsidRDefault="464FFEB9" w:rsidP="7510C0C7">
      <w:pPr>
        <w:pStyle w:val="NoSpacing"/>
        <w:ind w:firstLine="720"/>
        <w:rPr>
          <w:rFonts w:eastAsia="Arial"/>
        </w:rPr>
      </w:pPr>
      <w:r w:rsidRPr="00B80719">
        <w:rPr>
          <w:rFonts w:eastAsia="Arial"/>
        </w:rPr>
        <w:t>Coachbright, an external tutoring provider to the university, work with five schools across the Reading and Berkshire area, specifically with students from Year 9 and Year 11. Year 11 students will be matched to Year 9s as part of a tutoring scheme designed to build independence, encourage creative approaches to learning, develop cognitive and metacognitive skills, and foster academic self-efficacy and confidence. Tutoring sessions will run throughout the year, supported by participating school staff and by Coachbright professionals. At the end of the programme, participants will be welcomed to the university campus to participate in a final ‘graduation’ event that acts as a capstone to the programme.</w:t>
      </w:r>
    </w:p>
    <w:p w14:paraId="491E6833" w14:textId="32ABF6DE" w:rsidR="00AE4B2A" w:rsidRPr="00B80719" w:rsidRDefault="464FFEB9" w:rsidP="7510C0C7">
      <w:pPr>
        <w:pStyle w:val="NoSpacing"/>
        <w:ind w:firstLine="720"/>
        <w:rPr>
          <w:rFonts w:eastAsia="Arial"/>
        </w:rPr>
      </w:pPr>
      <w:r w:rsidRPr="00B80719">
        <w:rPr>
          <w:rFonts w:eastAsia="Arial"/>
        </w:rPr>
        <w:t xml:space="preserve">Tutoring workshops will be delivered in school by Coachbright staff and will require no resource inputs from the university. No student ambassadors or university staff will be required to support with these workshops. Input from the university comes in the form of the graduation events held on campus, which are not </w:t>
      </w:r>
      <w:r w:rsidR="00EE6750" w:rsidRPr="00B80719">
        <w:rPr>
          <w:rFonts w:eastAsia="Arial"/>
        </w:rPr>
        <w:t>resource intensive</w:t>
      </w:r>
      <w:r w:rsidRPr="00B80719">
        <w:rPr>
          <w:rFonts w:eastAsia="Arial"/>
        </w:rPr>
        <w:t>. Coachbright will have a partnership agreement with the university to convene, deliver and evaluate this programme.</w:t>
      </w:r>
    </w:p>
    <w:p w14:paraId="2603A1D1" w14:textId="0CB00BAC" w:rsidR="00AE4B2A" w:rsidRPr="00B80719" w:rsidRDefault="464FFEB9" w:rsidP="7510C0C7">
      <w:pPr>
        <w:pStyle w:val="NoSpacing"/>
        <w:ind w:firstLine="720"/>
        <w:rPr>
          <w:rFonts w:eastAsia="Arial"/>
        </w:rPr>
      </w:pPr>
      <w:r w:rsidRPr="00B80719">
        <w:rPr>
          <w:rFonts w:eastAsia="Arial"/>
        </w:rPr>
        <w:t>The target end users for this programme are students in Years 9 and 11, ideally those that meet specific targeting criteria such as students from IMD/POLAR4 quintile 1, those in receipt of free school meals and black students. The general aim of this programme is to have a measurable impact on the attainment of young people in the schools we work with. This translates to measurable improvements in their academic self-efficacy, their metacognition, educational outcomes in their exams and coursework, and overall attitudes to learning.</w:t>
      </w:r>
    </w:p>
    <w:p w14:paraId="5502C4DE" w14:textId="225C64B8" w:rsidR="00B205A5" w:rsidRPr="00B80719" w:rsidRDefault="00B205A5" w:rsidP="00B205A5">
      <w:pPr>
        <w:pStyle w:val="NoSpacing"/>
        <w:rPr>
          <w:rFonts w:eastAsia="Arial"/>
        </w:rPr>
      </w:pPr>
    </w:p>
    <w:p w14:paraId="3FD90953" w14:textId="59448407" w:rsidR="00B205A5" w:rsidRPr="00B80719" w:rsidRDefault="00B205A5" w:rsidP="00B205A5">
      <w:pPr>
        <w:pStyle w:val="NoSpacing"/>
        <w:rPr>
          <w:rFonts w:eastAsia="Arial"/>
        </w:rPr>
      </w:pPr>
      <w:r w:rsidRPr="00B80719">
        <w:rPr>
          <w:rFonts w:eastAsia="Arial"/>
        </w:rPr>
        <w:t>This report covers the 2024/25 academic year.</w:t>
      </w:r>
    </w:p>
    <w:p w14:paraId="4D21822B" w14:textId="26264DF8" w:rsidR="00AE4B2A" w:rsidRPr="00B80719" w:rsidRDefault="00AE4B2A" w:rsidP="7510C0C7">
      <w:pPr>
        <w:pStyle w:val="NoSpacing"/>
        <w:rPr>
          <w:rStyle w:val="eop"/>
        </w:rPr>
      </w:pPr>
    </w:p>
    <w:p w14:paraId="6A36043C" w14:textId="53F1A004" w:rsidR="00300E02" w:rsidRPr="00B80719" w:rsidRDefault="00300E02" w:rsidP="00132506">
      <w:pPr>
        <w:pStyle w:val="Heading2"/>
        <w:jc w:val="left"/>
      </w:pPr>
      <w:bookmarkStart w:id="3" w:name="_Toc220493477"/>
      <w:r w:rsidRPr="00B80719">
        <w:t>Linking to the Access and Participation Plan 2024-2028</w:t>
      </w:r>
      <w:bookmarkEnd w:id="3"/>
      <w:r w:rsidRPr="00B80719">
        <w:t xml:space="preserve"> </w:t>
      </w:r>
    </w:p>
    <w:p w14:paraId="308E6797" w14:textId="70753E20" w:rsidR="00C124E6" w:rsidRPr="00B80719" w:rsidRDefault="00783002" w:rsidP="00B07D50">
      <w:pPr>
        <w:rPr>
          <w:rFonts w:ascii="Arial" w:hAnsi="Arial" w:cs="Arial"/>
        </w:rPr>
      </w:pPr>
      <w:r w:rsidRPr="00B80719">
        <w:rPr>
          <w:rFonts w:ascii="Arial" w:hAnsi="Arial" w:cs="Arial"/>
        </w:rPr>
        <w:t>Through targeted attainment-raising initiatives with partner schools, t</w:t>
      </w:r>
      <w:r w:rsidR="00FF57B0" w:rsidRPr="00B80719">
        <w:rPr>
          <w:rFonts w:ascii="Arial" w:hAnsi="Arial" w:cs="Arial"/>
        </w:rPr>
        <w:t>he Coachbright collaboration is designed t</w:t>
      </w:r>
      <w:r w:rsidRPr="00B80719">
        <w:rPr>
          <w:rFonts w:ascii="Arial" w:hAnsi="Arial" w:cs="Arial"/>
        </w:rPr>
        <w:t>o support the removal of attainment-gaps at KS4 for students eligible for Free School Meals, those in IMD Q1, and those of Black ethnicity, such that by 2034 students from these groups progress equally into KS5 as their peers</w:t>
      </w:r>
      <w:r w:rsidR="461E1FAD" w:rsidRPr="00B80719">
        <w:rPr>
          <w:rFonts w:ascii="Arial" w:hAnsi="Arial" w:cs="Arial"/>
        </w:rPr>
        <w:t>.</w:t>
      </w:r>
    </w:p>
    <w:p w14:paraId="1F74559E" w14:textId="77777777" w:rsidR="00C124E6" w:rsidRPr="00B80719" w:rsidRDefault="00C124E6" w:rsidP="00B07D50">
      <w:pPr>
        <w:rPr>
          <w:rFonts w:ascii="Arial" w:hAnsi="Arial" w:cs="Arial"/>
          <w:b/>
        </w:rPr>
      </w:pPr>
    </w:p>
    <w:p w14:paraId="592AE5A7" w14:textId="77777777" w:rsidR="0065004F" w:rsidRPr="00B80719" w:rsidRDefault="0065004F">
      <w:pPr>
        <w:rPr>
          <w:rFonts w:ascii="Arial" w:eastAsiaTheme="majorEastAsia" w:hAnsi="Arial" w:cs="Arial"/>
          <w:b/>
          <w:color w:val="C00000"/>
          <w:sz w:val="44"/>
          <w:szCs w:val="44"/>
        </w:rPr>
      </w:pPr>
      <w:r w:rsidRPr="00B80719">
        <w:rPr>
          <w:rFonts w:ascii="Arial" w:hAnsi="Arial" w:cs="Arial"/>
          <w:sz w:val="44"/>
          <w:szCs w:val="44"/>
        </w:rPr>
        <w:br w:type="page"/>
      </w:r>
    </w:p>
    <w:p w14:paraId="476E1D66" w14:textId="07EE39C5" w:rsidR="00300E02" w:rsidRPr="00B80719" w:rsidRDefault="00025D71" w:rsidP="001E6C8D">
      <w:pPr>
        <w:pStyle w:val="Heading1"/>
        <w:jc w:val="left"/>
        <w:rPr>
          <w:rFonts w:ascii="Arial" w:hAnsi="Arial" w:cs="Arial"/>
          <w:sz w:val="44"/>
          <w:szCs w:val="44"/>
        </w:rPr>
      </w:pPr>
      <w:bookmarkStart w:id="4" w:name="_Toc220493478"/>
      <w:r w:rsidRPr="00B80719">
        <w:rPr>
          <w:rFonts w:ascii="Arial" w:hAnsi="Arial" w:cs="Arial"/>
          <w:sz w:val="44"/>
          <w:szCs w:val="44"/>
        </w:rPr>
        <w:lastRenderedPageBreak/>
        <w:t>M</w:t>
      </w:r>
      <w:r w:rsidR="00300E02" w:rsidRPr="00B80719">
        <w:rPr>
          <w:rFonts w:ascii="Arial" w:hAnsi="Arial" w:cs="Arial"/>
          <w:sz w:val="44"/>
          <w:szCs w:val="44"/>
        </w:rPr>
        <w:t>ethod</w:t>
      </w:r>
      <w:r w:rsidR="00C737D5" w:rsidRPr="00B80719">
        <w:rPr>
          <w:rFonts w:ascii="Arial" w:hAnsi="Arial" w:cs="Arial"/>
          <w:sz w:val="44"/>
          <w:szCs w:val="44"/>
        </w:rPr>
        <w:t>ology</w:t>
      </w:r>
      <w:bookmarkEnd w:id="4"/>
      <w:r w:rsidR="00300E02" w:rsidRPr="00B80719">
        <w:rPr>
          <w:rFonts w:ascii="Arial" w:hAnsi="Arial" w:cs="Arial"/>
          <w:sz w:val="44"/>
          <w:szCs w:val="44"/>
        </w:rPr>
        <w:t xml:space="preserve"> </w:t>
      </w:r>
    </w:p>
    <w:p w14:paraId="2E33C687" w14:textId="71788994" w:rsidR="00AE4B2A" w:rsidRPr="00132506" w:rsidRDefault="00C737D5" w:rsidP="00132506">
      <w:pPr>
        <w:rPr>
          <w:b/>
          <w:bCs/>
          <w:i/>
          <w:iCs/>
        </w:rPr>
      </w:pPr>
      <w:r w:rsidRPr="00132506">
        <w:rPr>
          <w:b/>
          <w:bCs/>
        </w:rPr>
        <w:t xml:space="preserve">Evaluation </w:t>
      </w:r>
      <w:r w:rsidR="00300E02" w:rsidRPr="00132506">
        <w:rPr>
          <w:b/>
          <w:bCs/>
        </w:rPr>
        <w:t>Questions</w:t>
      </w:r>
    </w:p>
    <w:p w14:paraId="538ACA72" w14:textId="77777777" w:rsidR="00300E02" w:rsidRPr="00B80719" w:rsidRDefault="00300E02" w:rsidP="00B0146B">
      <w:pPr>
        <w:pStyle w:val="paragraph"/>
        <w:numPr>
          <w:ilvl w:val="0"/>
          <w:numId w:val="1"/>
        </w:numPr>
        <w:spacing w:before="0" w:beforeAutospacing="0" w:after="0" w:afterAutospacing="0"/>
        <w:ind w:left="1080" w:firstLine="0"/>
        <w:textAlignment w:val="baseline"/>
        <w:rPr>
          <w:rFonts w:ascii="Arial" w:hAnsi="Arial" w:cs="Arial"/>
        </w:rPr>
      </w:pPr>
      <w:r w:rsidRPr="00B80719">
        <w:rPr>
          <w:rStyle w:val="normaltextrun"/>
          <w:rFonts w:ascii="Arial" w:hAnsi="Arial" w:cs="Arial"/>
        </w:rPr>
        <w:t>Does participation in Coachbright tutoring improve self-reported metacognition (independent learning)? </w:t>
      </w:r>
      <w:r w:rsidRPr="00B80719">
        <w:rPr>
          <w:rStyle w:val="eop"/>
          <w:rFonts w:ascii="Arial" w:hAnsi="Arial" w:cs="Arial"/>
        </w:rPr>
        <w:t> </w:t>
      </w:r>
    </w:p>
    <w:p w14:paraId="0E855A79" w14:textId="77777777" w:rsidR="00300E02" w:rsidRPr="00B80719" w:rsidRDefault="00300E02" w:rsidP="00B0146B">
      <w:pPr>
        <w:pStyle w:val="paragraph"/>
        <w:numPr>
          <w:ilvl w:val="0"/>
          <w:numId w:val="2"/>
        </w:numPr>
        <w:tabs>
          <w:tab w:val="clear" w:pos="1080"/>
          <w:tab w:val="num" w:pos="720"/>
        </w:tabs>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2CEC8C61" w14:textId="77777777" w:rsidR="00300E02" w:rsidRPr="00B80719" w:rsidRDefault="00300E02" w:rsidP="00B0146B">
      <w:pPr>
        <w:pStyle w:val="paragraph"/>
        <w:numPr>
          <w:ilvl w:val="0"/>
          <w:numId w:val="2"/>
        </w:numPr>
        <w:tabs>
          <w:tab w:val="clear" w:pos="1080"/>
          <w:tab w:val="num" w:pos="720"/>
        </w:tabs>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09D23677" w14:textId="77777777" w:rsidR="00300E02" w:rsidRPr="00B80719" w:rsidRDefault="00300E02" w:rsidP="00B0146B">
      <w:pPr>
        <w:pStyle w:val="paragraph"/>
        <w:numPr>
          <w:ilvl w:val="0"/>
          <w:numId w:val="2"/>
        </w:numPr>
        <w:tabs>
          <w:tab w:val="clear" w:pos="1080"/>
          <w:tab w:val="num" w:pos="720"/>
        </w:tabs>
        <w:spacing w:before="0" w:beforeAutospacing="0" w:after="0" w:afterAutospacing="0"/>
        <w:ind w:left="2520" w:firstLine="360"/>
        <w:textAlignment w:val="baseline"/>
        <w:rPr>
          <w:rFonts w:ascii="Arial" w:hAnsi="Arial" w:cs="Arial"/>
        </w:rPr>
      </w:pPr>
      <w:r w:rsidRPr="00B80719">
        <w:rPr>
          <w:rStyle w:val="normaltextrun"/>
          <w:rFonts w:ascii="Arial" w:hAnsi="Arial" w:cs="Arial"/>
        </w:rPr>
        <w:t>For Black students specifically</w:t>
      </w:r>
      <w:r w:rsidRPr="00B80719">
        <w:rPr>
          <w:rStyle w:val="eop"/>
          <w:rFonts w:ascii="Arial" w:hAnsi="Arial" w:cs="Arial"/>
        </w:rPr>
        <w:t> </w:t>
      </w:r>
    </w:p>
    <w:p w14:paraId="608022CF" w14:textId="1DACEE7C" w:rsidR="00300E02" w:rsidRPr="00B80719" w:rsidRDefault="00300E02" w:rsidP="00CF1D9E">
      <w:pPr>
        <w:pStyle w:val="paragraph"/>
        <w:spacing w:before="0" w:beforeAutospacing="0" w:after="0" w:afterAutospacing="0"/>
        <w:textAlignment w:val="baseline"/>
        <w:rPr>
          <w:rFonts w:ascii="Arial" w:hAnsi="Arial" w:cs="Arial"/>
        </w:rPr>
      </w:pPr>
    </w:p>
    <w:p w14:paraId="2EC44627" w14:textId="77777777" w:rsidR="00300E02" w:rsidRPr="00B80719" w:rsidRDefault="00300E02" w:rsidP="00B0146B">
      <w:pPr>
        <w:pStyle w:val="paragraph"/>
        <w:numPr>
          <w:ilvl w:val="0"/>
          <w:numId w:val="3"/>
        </w:numPr>
        <w:spacing w:before="0" w:beforeAutospacing="0" w:after="0" w:afterAutospacing="0"/>
        <w:ind w:left="1080" w:firstLine="0"/>
        <w:textAlignment w:val="baseline"/>
        <w:rPr>
          <w:rFonts w:ascii="Arial" w:hAnsi="Arial" w:cs="Arial"/>
        </w:rPr>
      </w:pPr>
      <w:r w:rsidRPr="00B80719">
        <w:rPr>
          <w:rStyle w:val="normaltextrun"/>
          <w:rFonts w:ascii="Arial" w:hAnsi="Arial" w:cs="Arial"/>
        </w:rPr>
        <w:t>Does participation in Coachbright tutoring improve self-reported self-efficacy? </w:t>
      </w:r>
      <w:r w:rsidRPr="00B80719">
        <w:rPr>
          <w:rStyle w:val="eop"/>
          <w:rFonts w:ascii="Arial" w:hAnsi="Arial" w:cs="Arial"/>
        </w:rPr>
        <w:t> </w:t>
      </w:r>
    </w:p>
    <w:p w14:paraId="3AC40FAC" w14:textId="77777777" w:rsidR="00300E02" w:rsidRPr="00B80719" w:rsidRDefault="00300E02" w:rsidP="00B0146B">
      <w:pPr>
        <w:pStyle w:val="paragraph"/>
        <w:numPr>
          <w:ilvl w:val="0"/>
          <w:numId w:val="4"/>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0E9A1A98" w14:textId="77777777" w:rsidR="00300E02" w:rsidRPr="00B80719" w:rsidRDefault="00300E02" w:rsidP="00B0146B">
      <w:pPr>
        <w:pStyle w:val="paragraph"/>
        <w:numPr>
          <w:ilvl w:val="0"/>
          <w:numId w:val="4"/>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5FAD1F6F" w14:textId="32D8329A" w:rsidR="00300E02" w:rsidRPr="00B80719" w:rsidRDefault="00300E02" w:rsidP="00B0146B">
      <w:pPr>
        <w:pStyle w:val="paragraph"/>
        <w:numPr>
          <w:ilvl w:val="0"/>
          <w:numId w:val="4"/>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For Black students specifically</w:t>
      </w:r>
    </w:p>
    <w:p w14:paraId="0F9BD7E5" w14:textId="77777777" w:rsidR="00300E02" w:rsidRPr="00B80719" w:rsidRDefault="00300E02" w:rsidP="00B0146B">
      <w:pPr>
        <w:pStyle w:val="paragraph"/>
        <w:numPr>
          <w:ilvl w:val="0"/>
          <w:numId w:val="5"/>
        </w:numPr>
        <w:spacing w:before="0" w:beforeAutospacing="0" w:after="0" w:afterAutospacing="0"/>
        <w:ind w:left="1080" w:firstLine="0"/>
        <w:textAlignment w:val="baseline"/>
        <w:rPr>
          <w:rFonts w:ascii="Arial" w:hAnsi="Arial" w:cs="Arial"/>
        </w:rPr>
      </w:pPr>
      <w:r w:rsidRPr="00B80719">
        <w:rPr>
          <w:rStyle w:val="normaltextrun"/>
          <w:rFonts w:ascii="Arial" w:hAnsi="Arial" w:cs="Arial"/>
        </w:rPr>
        <w:t>Does participation in Coachbright tutoring improve self-reported motivation? </w:t>
      </w:r>
      <w:r w:rsidRPr="00B80719">
        <w:rPr>
          <w:rStyle w:val="eop"/>
          <w:rFonts w:ascii="Arial" w:hAnsi="Arial" w:cs="Arial"/>
        </w:rPr>
        <w:t> </w:t>
      </w:r>
    </w:p>
    <w:p w14:paraId="68B61540" w14:textId="77777777" w:rsidR="00300E02" w:rsidRPr="00B80719" w:rsidRDefault="00300E02" w:rsidP="00B0146B">
      <w:pPr>
        <w:pStyle w:val="paragraph"/>
        <w:numPr>
          <w:ilvl w:val="0"/>
          <w:numId w:val="6"/>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2C5A26C5" w14:textId="77777777" w:rsidR="00300E02" w:rsidRPr="00B80719" w:rsidRDefault="00300E02" w:rsidP="00B0146B">
      <w:pPr>
        <w:pStyle w:val="paragraph"/>
        <w:numPr>
          <w:ilvl w:val="0"/>
          <w:numId w:val="6"/>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198E2A56" w14:textId="77777777" w:rsidR="00300E02" w:rsidRPr="00B80719" w:rsidRDefault="00300E02" w:rsidP="00B0146B">
      <w:pPr>
        <w:pStyle w:val="paragraph"/>
        <w:numPr>
          <w:ilvl w:val="0"/>
          <w:numId w:val="6"/>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For Black students specifically</w:t>
      </w:r>
    </w:p>
    <w:p w14:paraId="7DFAE5C1" w14:textId="77777777" w:rsidR="00300E02" w:rsidRPr="00B80719" w:rsidRDefault="00300E02" w:rsidP="00300E02">
      <w:pPr>
        <w:pStyle w:val="paragraph"/>
        <w:spacing w:before="0" w:beforeAutospacing="0" w:after="0" w:afterAutospacing="0"/>
        <w:textAlignment w:val="baseline"/>
        <w:rPr>
          <w:rFonts w:ascii="Arial" w:hAnsi="Arial" w:cs="Arial"/>
        </w:rPr>
      </w:pPr>
      <w:r w:rsidRPr="00B80719">
        <w:rPr>
          <w:rStyle w:val="eop"/>
          <w:rFonts w:ascii="Arial" w:hAnsi="Arial" w:cs="Arial"/>
        </w:rPr>
        <w:t> </w:t>
      </w:r>
    </w:p>
    <w:p w14:paraId="1D4D0604" w14:textId="77777777" w:rsidR="00300E02" w:rsidRPr="00B80719" w:rsidRDefault="00300E02" w:rsidP="00B0146B">
      <w:pPr>
        <w:pStyle w:val="paragraph"/>
        <w:numPr>
          <w:ilvl w:val="0"/>
          <w:numId w:val="7"/>
        </w:numPr>
        <w:spacing w:before="0" w:beforeAutospacing="0" w:after="0" w:afterAutospacing="0"/>
        <w:ind w:firstLine="0"/>
        <w:textAlignment w:val="baseline"/>
        <w:rPr>
          <w:rFonts w:ascii="Arial" w:hAnsi="Arial" w:cs="Arial"/>
        </w:rPr>
      </w:pPr>
      <w:r w:rsidRPr="00B80719">
        <w:rPr>
          <w:rStyle w:val="normaltextrun"/>
          <w:rFonts w:ascii="Arial" w:hAnsi="Arial" w:cs="Arial"/>
        </w:rPr>
        <w:t>Is participation in Coachbright tutoring linked to teacher reports of improved subject knowledge and confidence? </w:t>
      </w:r>
      <w:r w:rsidRPr="00B80719">
        <w:rPr>
          <w:rStyle w:val="eop"/>
          <w:rFonts w:ascii="Arial" w:hAnsi="Arial" w:cs="Arial"/>
        </w:rPr>
        <w:t> </w:t>
      </w:r>
    </w:p>
    <w:p w14:paraId="2EEC8652" w14:textId="77777777" w:rsidR="00300E02" w:rsidRPr="00B80719" w:rsidRDefault="00300E02" w:rsidP="00B0146B">
      <w:pPr>
        <w:pStyle w:val="paragraph"/>
        <w:numPr>
          <w:ilvl w:val="0"/>
          <w:numId w:val="8"/>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42E9BA7A" w14:textId="77777777" w:rsidR="00300E02" w:rsidRPr="00B80719" w:rsidRDefault="00300E02" w:rsidP="00B0146B">
      <w:pPr>
        <w:pStyle w:val="paragraph"/>
        <w:numPr>
          <w:ilvl w:val="0"/>
          <w:numId w:val="9"/>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1BA3A720" w14:textId="77777777" w:rsidR="00300E02" w:rsidRPr="00B80719" w:rsidRDefault="00300E02" w:rsidP="00B0146B">
      <w:pPr>
        <w:pStyle w:val="paragraph"/>
        <w:numPr>
          <w:ilvl w:val="0"/>
          <w:numId w:val="9"/>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For Black students specifically</w:t>
      </w:r>
    </w:p>
    <w:p w14:paraId="704F3111" w14:textId="77777777" w:rsidR="00300E02" w:rsidRPr="00B80719" w:rsidRDefault="00300E02" w:rsidP="00300E02">
      <w:pPr>
        <w:pStyle w:val="paragraph"/>
        <w:spacing w:before="0" w:beforeAutospacing="0" w:after="0" w:afterAutospacing="0"/>
        <w:ind w:left="1800"/>
        <w:textAlignment w:val="baseline"/>
        <w:rPr>
          <w:rFonts w:ascii="Arial" w:hAnsi="Arial" w:cs="Arial"/>
        </w:rPr>
      </w:pPr>
      <w:r w:rsidRPr="00B80719">
        <w:rPr>
          <w:rStyle w:val="eop"/>
          <w:rFonts w:ascii="Arial" w:hAnsi="Arial" w:cs="Arial"/>
        </w:rPr>
        <w:t> </w:t>
      </w:r>
    </w:p>
    <w:p w14:paraId="291A4D17" w14:textId="30467B25" w:rsidR="00300E02" w:rsidRPr="00B80719" w:rsidRDefault="00300E02" w:rsidP="00B0146B">
      <w:pPr>
        <w:pStyle w:val="paragraph"/>
        <w:numPr>
          <w:ilvl w:val="0"/>
          <w:numId w:val="10"/>
        </w:numPr>
        <w:spacing w:before="0" w:beforeAutospacing="0" w:after="0" w:afterAutospacing="0"/>
        <w:ind w:left="1080" w:firstLine="0"/>
        <w:textAlignment w:val="baseline"/>
        <w:rPr>
          <w:rFonts w:ascii="Arial" w:hAnsi="Arial" w:cs="Arial"/>
        </w:rPr>
      </w:pPr>
      <w:r w:rsidRPr="00B80719">
        <w:rPr>
          <w:rStyle w:val="normaltextrun"/>
          <w:rFonts w:ascii="Arial" w:hAnsi="Arial" w:cs="Arial"/>
        </w:rPr>
        <w:t>Does participation in Coachbright tutoring increase GCSE attainment? </w:t>
      </w:r>
      <w:r w:rsidRPr="00B80719">
        <w:rPr>
          <w:rStyle w:val="eop"/>
          <w:rFonts w:ascii="Arial" w:hAnsi="Arial" w:cs="Arial"/>
        </w:rPr>
        <w:t> </w:t>
      </w:r>
      <w:r w:rsidR="008975D8" w:rsidRPr="00B80719">
        <w:rPr>
          <w:rStyle w:val="eop"/>
          <w:rFonts w:ascii="Arial" w:hAnsi="Arial" w:cs="Arial"/>
        </w:rPr>
        <w:t>[Note, cannot be reported on yet]</w:t>
      </w:r>
    </w:p>
    <w:p w14:paraId="710C4531" w14:textId="77777777" w:rsidR="00300E02" w:rsidRPr="00B80719" w:rsidRDefault="00300E02" w:rsidP="00B0146B">
      <w:pPr>
        <w:pStyle w:val="paragraph"/>
        <w:numPr>
          <w:ilvl w:val="0"/>
          <w:numId w:val="11"/>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7EC760D5" w14:textId="77777777" w:rsidR="00300E02" w:rsidRPr="00B80719" w:rsidRDefault="00300E02" w:rsidP="00B0146B">
      <w:pPr>
        <w:pStyle w:val="paragraph"/>
        <w:numPr>
          <w:ilvl w:val="0"/>
          <w:numId w:val="11"/>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41DACB48" w14:textId="77777777" w:rsidR="00300E02" w:rsidRPr="00B80719" w:rsidRDefault="00300E02" w:rsidP="00B0146B">
      <w:pPr>
        <w:pStyle w:val="paragraph"/>
        <w:numPr>
          <w:ilvl w:val="0"/>
          <w:numId w:val="11"/>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Black students specifically</w:t>
      </w:r>
    </w:p>
    <w:p w14:paraId="01B56566" w14:textId="77777777" w:rsidR="00300E02" w:rsidRPr="00B80719" w:rsidRDefault="00300E02" w:rsidP="00300E02">
      <w:pPr>
        <w:pStyle w:val="paragraph"/>
        <w:spacing w:before="0" w:beforeAutospacing="0" w:after="0" w:afterAutospacing="0"/>
        <w:textAlignment w:val="baseline"/>
        <w:rPr>
          <w:rFonts w:ascii="Arial" w:hAnsi="Arial" w:cs="Arial"/>
        </w:rPr>
      </w:pPr>
    </w:p>
    <w:p w14:paraId="26FF9E2C" w14:textId="655CA316" w:rsidR="00300E02" w:rsidRPr="00B80719" w:rsidRDefault="00300E02" w:rsidP="00B0146B">
      <w:pPr>
        <w:pStyle w:val="paragraph"/>
        <w:numPr>
          <w:ilvl w:val="0"/>
          <w:numId w:val="12"/>
        </w:numPr>
        <w:spacing w:before="0" w:beforeAutospacing="0" w:after="0" w:afterAutospacing="0"/>
        <w:ind w:left="1080" w:firstLine="0"/>
        <w:textAlignment w:val="baseline"/>
        <w:rPr>
          <w:rFonts w:ascii="Arial" w:hAnsi="Arial" w:cs="Arial"/>
        </w:rPr>
      </w:pPr>
      <w:r w:rsidRPr="00B80719">
        <w:rPr>
          <w:rStyle w:val="normaltextrun"/>
          <w:rFonts w:ascii="Arial" w:hAnsi="Arial" w:cs="Arial"/>
        </w:rPr>
        <w:t>Does participation in Coachbright increase subsequent progression to HE (Reading), compared to a benchmark of demographically similar applicants? </w:t>
      </w:r>
      <w:r w:rsidR="0084714A" w:rsidRPr="00B80719">
        <w:rPr>
          <w:rStyle w:val="eop"/>
          <w:rFonts w:ascii="Arial" w:hAnsi="Arial" w:cs="Arial"/>
        </w:rPr>
        <w:t>[Note, cannot be reported on yet]</w:t>
      </w:r>
      <w:r w:rsidRPr="00B80719">
        <w:rPr>
          <w:rStyle w:val="eop"/>
          <w:rFonts w:ascii="Arial" w:hAnsi="Arial" w:cs="Arial"/>
        </w:rPr>
        <w:t> </w:t>
      </w:r>
    </w:p>
    <w:p w14:paraId="3763C698" w14:textId="77777777" w:rsidR="00300E02" w:rsidRPr="00B80719" w:rsidRDefault="00300E02" w:rsidP="00B0146B">
      <w:pPr>
        <w:pStyle w:val="paragraph"/>
        <w:numPr>
          <w:ilvl w:val="0"/>
          <w:numId w:val="13"/>
        </w:numPr>
        <w:spacing w:before="0" w:beforeAutospacing="0" w:after="0" w:afterAutospacing="0"/>
        <w:ind w:left="2520" w:firstLine="360"/>
        <w:textAlignment w:val="baseline"/>
        <w:rPr>
          <w:rFonts w:ascii="Arial" w:hAnsi="Arial" w:cs="Arial"/>
        </w:rPr>
      </w:pPr>
      <w:r w:rsidRPr="00B80719">
        <w:rPr>
          <w:rStyle w:val="normaltextrun"/>
          <w:rFonts w:ascii="Arial" w:hAnsi="Arial" w:cs="Arial"/>
        </w:rPr>
        <w:t>Overall </w:t>
      </w:r>
      <w:r w:rsidRPr="00B80719">
        <w:rPr>
          <w:rStyle w:val="eop"/>
          <w:rFonts w:ascii="Arial" w:hAnsi="Arial" w:cs="Arial"/>
        </w:rPr>
        <w:t> </w:t>
      </w:r>
    </w:p>
    <w:p w14:paraId="09C68013" w14:textId="77777777" w:rsidR="00300E02" w:rsidRPr="00B80719" w:rsidRDefault="00300E02" w:rsidP="00B0146B">
      <w:pPr>
        <w:pStyle w:val="paragraph"/>
        <w:numPr>
          <w:ilvl w:val="0"/>
          <w:numId w:val="13"/>
        </w:numPr>
        <w:spacing w:before="0" w:beforeAutospacing="0" w:after="0" w:afterAutospacing="0"/>
        <w:ind w:left="2520" w:firstLine="360"/>
        <w:textAlignment w:val="baseline"/>
        <w:rPr>
          <w:rStyle w:val="normaltextrun"/>
          <w:rFonts w:ascii="Arial" w:hAnsi="Arial" w:cs="Arial"/>
        </w:rPr>
      </w:pPr>
      <w:r w:rsidRPr="00B80719">
        <w:rPr>
          <w:rStyle w:val="normaltextrun"/>
          <w:rFonts w:ascii="Arial" w:hAnsi="Arial" w:cs="Arial"/>
        </w:rPr>
        <w:t>For IMD Q1 &amp; Q2 students specifically</w:t>
      </w:r>
    </w:p>
    <w:p w14:paraId="002D536F" w14:textId="77777777" w:rsidR="004C206C" w:rsidRPr="00B80719" w:rsidRDefault="00300E02" w:rsidP="00B0146B">
      <w:pPr>
        <w:pStyle w:val="paragraph"/>
        <w:numPr>
          <w:ilvl w:val="0"/>
          <w:numId w:val="13"/>
        </w:numPr>
        <w:spacing w:before="0" w:beforeAutospacing="0" w:after="0" w:afterAutospacing="0"/>
        <w:ind w:left="2520" w:firstLine="360"/>
        <w:rPr>
          <w:rStyle w:val="normaltextrun"/>
          <w:rFonts w:ascii="Arial" w:hAnsi="Arial" w:cs="Arial"/>
          <w:i/>
          <w:iCs/>
        </w:rPr>
      </w:pPr>
      <w:r w:rsidRPr="00B80719">
        <w:rPr>
          <w:rStyle w:val="normaltextrun"/>
          <w:rFonts w:ascii="Arial" w:hAnsi="Arial" w:cs="Arial"/>
        </w:rPr>
        <w:t>For Black students specifically</w:t>
      </w:r>
    </w:p>
    <w:p w14:paraId="54A2496A" w14:textId="77777777" w:rsidR="004C206C" w:rsidRPr="00B80719" w:rsidRDefault="004C206C" w:rsidP="004C206C">
      <w:pPr>
        <w:pStyle w:val="paragraph"/>
        <w:spacing w:before="0" w:beforeAutospacing="0" w:after="0" w:afterAutospacing="0"/>
        <w:ind w:left="2880"/>
        <w:rPr>
          <w:rStyle w:val="normaltextrun"/>
          <w:rFonts w:ascii="Arial" w:hAnsi="Arial" w:cs="Arial"/>
          <w:i/>
          <w:iCs/>
        </w:rPr>
      </w:pPr>
    </w:p>
    <w:p w14:paraId="1414BD23" w14:textId="30913FD9" w:rsidR="00C124E6" w:rsidRPr="00B80719" w:rsidRDefault="17D8C2DE" w:rsidP="004C206C">
      <w:pPr>
        <w:pStyle w:val="paragraph"/>
        <w:spacing w:before="0" w:beforeAutospacing="0" w:after="0" w:afterAutospacing="0"/>
        <w:rPr>
          <w:rStyle w:val="normaltextrun"/>
          <w:rFonts w:ascii="Arial" w:hAnsi="Arial" w:cs="Arial"/>
          <w:i/>
          <w:iCs/>
        </w:rPr>
      </w:pPr>
      <w:r w:rsidRPr="00B80719">
        <w:rPr>
          <w:rStyle w:val="normaltextrun"/>
          <w:rFonts w:ascii="Arial" w:hAnsi="Arial" w:cs="Arial"/>
        </w:rPr>
        <w:t>(</w:t>
      </w:r>
      <w:r w:rsidRPr="00B80719">
        <w:rPr>
          <w:rStyle w:val="normaltextrun"/>
          <w:rFonts w:ascii="Arial" w:hAnsi="Arial" w:cs="Arial"/>
          <w:i/>
          <w:iCs/>
        </w:rPr>
        <w:t xml:space="preserve">N.B. due to a lack of data-sharing agreement with Coachbright, sub-group analysis was not possible this cycle, as all participants’ mean average scores were anonymised before data analysis was conducted. Demographic data exists, </w:t>
      </w:r>
      <w:r w:rsidR="004C206C" w:rsidRPr="00B80719">
        <w:rPr>
          <w:rStyle w:val="normaltextrun"/>
          <w:rFonts w:ascii="Arial" w:hAnsi="Arial" w:cs="Arial"/>
          <w:i/>
          <w:iCs/>
        </w:rPr>
        <w:t>but was</w:t>
      </w:r>
      <w:r w:rsidRPr="00B80719">
        <w:rPr>
          <w:rStyle w:val="normaltextrun"/>
          <w:rFonts w:ascii="Arial" w:hAnsi="Arial" w:cs="Arial"/>
          <w:i/>
          <w:iCs/>
        </w:rPr>
        <w:t xml:space="preserve"> not paired with participants’ responses)</w:t>
      </w:r>
    </w:p>
    <w:p w14:paraId="144E8D1E" w14:textId="77777777" w:rsidR="004C206C" w:rsidRPr="00B80719" w:rsidRDefault="004C206C" w:rsidP="004C206C">
      <w:pPr>
        <w:pStyle w:val="paragraph"/>
        <w:spacing w:before="0" w:beforeAutospacing="0" w:after="0" w:afterAutospacing="0"/>
        <w:rPr>
          <w:rFonts w:ascii="Arial" w:hAnsi="Arial" w:cs="Arial"/>
          <w:i/>
          <w:iCs/>
        </w:rPr>
      </w:pPr>
    </w:p>
    <w:p w14:paraId="4437FB93" w14:textId="4AA45671" w:rsidR="00300E02" w:rsidRPr="00B80719" w:rsidRDefault="00300E02" w:rsidP="00132506">
      <w:pPr>
        <w:pStyle w:val="Heading2"/>
        <w:jc w:val="left"/>
      </w:pPr>
      <w:bookmarkStart w:id="5" w:name="_Toc220493479"/>
      <w:r w:rsidRPr="00B80719">
        <w:t xml:space="preserve">Data </w:t>
      </w:r>
      <w:r w:rsidR="00025D71" w:rsidRPr="00B80719">
        <w:t>C</w:t>
      </w:r>
      <w:r w:rsidRPr="00B80719">
        <w:t>ollection</w:t>
      </w:r>
      <w:bookmarkEnd w:id="5"/>
    </w:p>
    <w:tbl>
      <w:tblPr>
        <w:tblStyle w:val="TableGrid"/>
        <w:tblW w:w="9123" w:type="dxa"/>
        <w:tblLook w:val="04A0" w:firstRow="1" w:lastRow="0" w:firstColumn="1" w:lastColumn="0" w:noHBand="0" w:noVBand="1"/>
      </w:tblPr>
      <w:tblGrid>
        <w:gridCol w:w="4515"/>
        <w:gridCol w:w="4608"/>
      </w:tblGrid>
      <w:tr w:rsidR="00300E02" w:rsidRPr="00B80719" w14:paraId="05FEB46C" w14:textId="77777777" w:rsidTr="70B11DE6">
        <w:trPr>
          <w:trHeight w:val="300"/>
        </w:trPr>
        <w:tc>
          <w:tcPr>
            <w:tcW w:w="4515" w:type="dxa"/>
          </w:tcPr>
          <w:p w14:paraId="32BB16C3" w14:textId="258CE789" w:rsidR="00300E02" w:rsidRPr="00B80719" w:rsidRDefault="0084714A" w:rsidP="70B11DE6">
            <w:pPr>
              <w:pStyle w:val="NoSpacing"/>
            </w:pPr>
            <w:r w:rsidRPr="00B80719">
              <w:t>D</w:t>
            </w:r>
            <w:r w:rsidR="00300E02" w:rsidRPr="00B80719">
              <w:t xml:space="preserve">ata </w:t>
            </w:r>
            <w:r w:rsidR="3B71957E" w:rsidRPr="00B80719">
              <w:t>C</w:t>
            </w:r>
            <w:r w:rsidR="00300E02" w:rsidRPr="00B80719">
              <w:t>ollected</w:t>
            </w:r>
          </w:p>
        </w:tc>
        <w:tc>
          <w:tcPr>
            <w:tcW w:w="4608" w:type="dxa"/>
          </w:tcPr>
          <w:p w14:paraId="4E6500F2" w14:textId="7C57D02D" w:rsidR="00300E02" w:rsidRPr="00B80719" w:rsidRDefault="22902474" w:rsidP="70B11DE6">
            <w:pPr>
              <w:pStyle w:val="NoSpacing"/>
            </w:pPr>
            <w:r w:rsidRPr="00B80719">
              <w:t xml:space="preserve">Items or </w:t>
            </w:r>
            <w:r w:rsidR="6C6F7057" w:rsidRPr="00B80719">
              <w:t>M</w:t>
            </w:r>
            <w:r w:rsidRPr="00B80719">
              <w:t xml:space="preserve">ethod of </w:t>
            </w:r>
            <w:r w:rsidR="7C965314" w:rsidRPr="00B80719">
              <w:t>D</w:t>
            </w:r>
            <w:r w:rsidRPr="00B80719">
              <w:t xml:space="preserve">ata </w:t>
            </w:r>
            <w:r w:rsidR="45B32657" w:rsidRPr="00B80719">
              <w:t>C</w:t>
            </w:r>
            <w:r w:rsidRPr="00B80719">
              <w:t>ollection</w:t>
            </w:r>
          </w:p>
        </w:tc>
      </w:tr>
      <w:tr w:rsidR="00300E02" w:rsidRPr="00B80719" w14:paraId="6DA4299E" w14:textId="77777777" w:rsidTr="70B11DE6">
        <w:trPr>
          <w:trHeight w:val="300"/>
        </w:trPr>
        <w:tc>
          <w:tcPr>
            <w:tcW w:w="4515" w:type="dxa"/>
          </w:tcPr>
          <w:p w14:paraId="175C4344" w14:textId="77777777" w:rsidR="00300E02" w:rsidRPr="00B80719" w:rsidRDefault="00300E02" w:rsidP="00374D1A">
            <w:pPr>
              <w:pStyle w:val="NoSpacing"/>
            </w:pPr>
            <w:r w:rsidRPr="00B80719">
              <w:lastRenderedPageBreak/>
              <w:t xml:space="preserve">Self-reported metacognition (independent learning) </w:t>
            </w:r>
          </w:p>
          <w:p w14:paraId="498D4BBD" w14:textId="77777777" w:rsidR="00300E02" w:rsidRPr="00B80719" w:rsidRDefault="00300E02" w:rsidP="00374D1A">
            <w:pPr>
              <w:pStyle w:val="NoSpacing"/>
            </w:pPr>
            <w:r w:rsidRPr="00B80719">
              <w:t>Choose how well each statement describes you by selecting a number from 1 to 7.</w:t>
            </w:r>
          </w:p>
          <w:p w14:paraId="5C688367" w14:textId="77777777" w:rsidR="00300E02" w:rsidRPr="00B80719" w:rsidRDefault="00300E02" w:rsidP="00374D1A">
            <w:pPr>
              <w:pStyle w:val="NoSpacing"/>
            </w:pPr>
          </w:p>
          <w:p w14:paraId="3085F2FE" w14:textId="77777777" w:rsidR="004C206C" w:rsidRPr="00B80719" w:rsidRDefault="004C206C" w:rsidP="004C206C">
            <w:pPr>
              <w:pStyle w:val="NoSpacing"/>
            </w:pPr>
            <w:r w:rsidRPr="00B80719">
              <w:t>1: Not at all like me</w:t>
            </w:r>
          </w:p>
          <w:p w14:paraId="1DC7B552" w14:textId="77777777" w:rsidR="004C206C" w:rsidRPr="00B80719" w:rsidRDefault="004C206C" w:rsidP="004C206C">
            <w:pPr>
              <w:pStyle w:val="NoSpacing"/>
            </w:pPr>
            <w:r w:rsidRPr="00B80719">
              <w:t>7: Very like me</w:t>
            </w:r>
          </w:p>
          <w:p w14:paraId="4C9F68CD" w14:textId="77777777" w:rsidR="004C206C" w:rsidRPr="00B80719" w:rsidRDefault="004C206C" w:rsidP="00374D1A">
            <w:pPr>
              <w:pStyle w:val="NoSpacing"/>
            </w:pPr>
          </w:p>
        </w:tc>
        <w:tc>
          <w:tcPr>
            <w:tcW w:w="4608" w:type="dxa"/>
          </w:tcPr>
          <w:p w14:paraId="1A8463D5" w14:textId="77777777" w:rsidR="00300E02" w:rsidRPr="00B80719" w:rsidRDefault="00300E02" w:rsidP="00374D1A">
            <w:pPr>
              <w:pStyle w:val="NoSpacing"/>
            </w:pPr>
            <w:r w:rsidRPr="00B80719">
              <w:t>Coachbright items:</w:t>
            </w:r>
          </w:p>
          <w:p w14:paraId="141D48EB" w14:textId="77777777" w:rsidR="00300E02" w:rsidRPr="00B80719" w:rsidRDefault="00300E02" w:rsidP="00374D1A">
            <w:pPr>
              <w:pStyle w:val="NoSpacing"/>
            </w:pPr>
            <w:r w:rsidRPr="00B80719">
              <w:t>1. I know when I understand something.</w:t>
            </w:r>
          </w:p>
          <w:p w14:paraId="428311DF" w14:textId="77777777" w:rsidR="00300E02" w:rsidRPr="00B80719" w:rsidRDefault="00300E02" w:rsidP="00374D1A">
            <w:pPr>
              <w:pStyle w:val="NoSpacing"/>
            </w:pPr>
            <w:r w:rsidRPr="00B80719">
              <w:t>2. I can make myself learn when I need to.</w:t>
            </w:r>
          </w:p>
          <w:p w14:paraId="39518230" w14:textId="77777777" w:rsidR="00300E02" w:rsidRPr="00B80719" w:rsidRDefault="00300E02" w:rsidP="00374D1A">
            <w:pPr>
              <w:pStyle w:val="NoSpacing"/>
            </w:pPr>
            <w:r w:rsidRPr="00B80719">
              <w:t>3. I try to use ways of learning that have worked for me before.</w:t>
            </w:r>
          </w:p>
          <w:p w14:paraId="06FC2DAE" w14:textId="77777777" w:rsidR="00300E02" w:rsidRPr="00B80719" w:rsidRDefault="00300E02" w:rsidP="00374D1A">
            <w:pPr>
              <w:pStyle w:val="NoSpacing"/>
            </w:pPr>
            <w:r w:rsidRPr="00B80719">
              <w:t>4. I know what the teacher expects me to learn.</w:t>
            </w:r>
          </w:p>
          <w:p w14:paraId="13710F35" w14:textId="77777777" w:rsidR="00300E02" w:rsidRPr="00B80719" w:rsidRDefault="00300E02" w:rsidP="00374D1A">
            <w:pPr>
              <w:pStyle w:val="NoSpacing"/>
            </w:pPr>
            <w:r w:rsidRPr="00B80719">
              <w:t>5. I learn best when I already know something about the topic.</w:t>
            </w:r>
          </w:p>
          <w:p w14:paraId="7361110F" w14:textId="77777777" w:rsidR="00300E02" w:rsidRPr="00B80719" w:rsidRDefault="00300E02" w:rsidP="00374D1A">
            <w:pPr>
              <w:pStyle w:val="NoSpacing"/>
            </w:pPr>
            <w:r w:rsidRPr="00B80719">
              <w:t>6. I draw pictures or diagrams to help me understand while learning.</w:t>
            </w:r>
          </w:p>
          <w:p w14:paraId="6DD85E1D" w14:textId="77777777" w:rsidR="00300E02" w:rsidRPr="00B80719" w:rsidRDefault="00300E02" w:rsidP="00374D1A">
            <w:pPr>
              <w:pStyle w:val="NoSpacing"/>
            </w:pPr>
            <w:r w:rsidRPr="00B80719">
              <w:t>7. When I am done with my work, I ask myself if I learned what I wanted to learn.</w:t>
            </w:r>
          </w:p>
          <w:p w14:paraId="209F6D82" w14:textId="77777777" w:rsidR="00300E02" w:rsidRPr="00B80719" w:rsidRDefault="00300E02" w:rsidP="00374D1A">
            <w:pPr>
              <w:pStyle w:val="NoSpacing"/>
            </w:pPr>
            <w:r w:rsidRPr="00B80719">
              <w:t>8. I think of lots of ways to solve a problem and then choose the best one.</w:t>
            </w:r>
          </w:p>
          <w:p w14:paraId="1F38C827" w14:textId="77777777" w:rsidR="00300E02" w:rsidRPr="00B80719" w:rsidRDefault="00300E02" w:rsidP="00374D1A">
            <w:pPr>
              <w:pStyle w:val="NoSpacing"/>
            </w:pPr>
            <w:r w:rsidRPr="00B80719">
              <w:t>9. I think about what I need to learn before I start working.</w:t>
            </w:r>
          </w:p>
          <w:p w14:paraId="60635549" w14:textId="77777777" w:rsidR="00300E02" w:rsidRPr="00B80719" w:rsidRDefault="00300E02" w:rsidP="00374D1A">
            <w:pPr>
              <w:pStyle w:val="NoSpacing"/>
            </w:pPr>
            <w:r w:rsidRPr="00B80719">
              <w:t>10. I ask myself how well I am doing while I am learning something new.</w:t>
            </w:r>
          </w:p>
          <w:p w14:paraId="5DCBB88B" w14:textId="77777777" w:rsidR="00300E02" w:rsidRPr="00B80719" w:rsidRDefault="00300E02" w:rsidP="00374D1A">
            <w:pPr>
              <w:pStyle w:val="NoSpacing"/>
            </w:pPr>
            <w:r w:rsidRPr="00B80719">
              <w:t>11. I really pay attention to important information.</w:t>
            </w:r>
          </w:p>
          <w:p w14:paraId="6B73A354" w14:textId="77777777" w:rsidR="00300E02" w:rsidRPr="00B80719" w:rsidRDefault="00300E02" w:rsidP="00374D1A">
            <w:pPr>
              <w:pStyle w:val="NoSpacing"/>
            </w:pPr>
            <w:r w:rsidRPr="00B80719">
              <w:t>12. I learn more when I am interested in the topic.</w:t>
            </w:r>
          </w:p>
        </w:tc>
      </w:tr>
      <w:tr w:rsidR="00300E02" w:rsidRPr="00B80719" w14:paraId="50395441" w14:textId="77777777" w:rsidTr="70B11DE6">
        <w:trPr>
          <w:trHeight w:val="300"/>
        </w:trPr>
        <w:tc>
          <w:tcPr>
            <w:tcW w:w="4515" w:type="dxa"/>
          </w:tcPr>
          <w:p w14:paraId="4DDD929A" w14:textId="77777777" w:rsidR="00300E02" w:rsidRPr="00B80719" w:rsidRDefault="00300E02" w:rsidP="00374D1A">
            <w:pPr>
              <w:pStyle w:val="NoSpacing"/>
            </w:pPr>
            <w:r w:rsidRPr="00B80719">
              <w:t>Self-reported self-efficacy</w:t>
            </w:r>
          </w:p>
          <w:p w14:paraId="484DEFB1" w14:textId="77777777" w:rsidR="00300E02" w:rsidRPr="00B80719" w:rsidRDefault="00300E02" w:rsidP="00374D1A">
            <w:pPr>
              <w:pStyle w:val="NoSpacing"/>
            </w:pPr>
            <w:r w:rsidRPr="00B80719">
              <w:t>Choose how well each statement describes you by selecting a number from 1 to 7.</w:t>
            </w:r>
          </w:p>
          <w:p w14:paraId="7BA9354D" w14:textId="77777777" w:rsidR="00300E02" w:rsidRPr="00B80719" w:rsidRDefault="00300E02" w:rsidP="00374D1A">
            <w:pPr>
              <w:pStyle w:val="NoSpacing"/>
            </w:pPr>
          </w:p>
          <w:p w14:paraId="256ECFAC" w14:textId="77777777" w:rsidR="004C206C" w:rsidRPr="00B80719" w:rsidRDefault="004C206C" w:rsidP="004C206C">
            <w:pPr>
              <w:pStyle w:val="NoSpacing"/>
            </w:pPr>
            <w:r w:rsidRPr="00B80719">
              <w:t>1: Not at all like me</w:t>
            </w:r>
          </w:p>
          <w:p w14:paraId="2721C756" w14:textId="77777777" w:rsidR="004C206C" w:rsidRPr="00B80719" w:rsidRDefault="004C206C" w:rsidP="004C206C">
            <w:pPr>
              <w:pStyle w:val="NoSpacing"/>
            </w:pPr>
            <w:r w:rsidRPr="00B80719">
              <w:t>7: Very like me</w:t>
            </w:r>
          </w:p>
          <w:p w14:paraId="70F139A8" w14:textId="77777777" w:rsidR="004C206C" w:rsidRPr="00B80719" w:rsidRDefault="004C206C" w:rsidP="00374D1A">
            <w:pPr>
              <w:pStyle w:val="NoSpacing"/>
            </w:pPr>
          </w:p>
        </w:tc>
        <w:tc>
          <w:tcPr>
            <w:tcW w:w="4608" w:type="dxa"/>
          </w:tcPr>
          <w:p w14:paraId="713DD27F" w14:textId="77777777" w:rsidR="00300E02" w:rsidRPr="00B80719" w:rsidRDefault="00300E02" w:rsidP="00374D1A">
            <w:pPr>
              <w:pStyle w:val="NoSpacing"/>
            </w:pPr>
            <w:r w:rsidRPr="00B80719">
              <w:t>Coachbright items:</w:t>
            </w:r>
          </w:p>
          <w:p w14:paraId="6BC144B3" w14:textId="77777777" w:rsidR="00300E02" w:rsidRPr="00B80719" w:rsidRDefault="00300E02" w:rsidP="00374D1A">
            <w:pPr>
              <w:pStyle w:val="NoSpacing"/>
            </w:pPr>
            <w:r w:rsidRPr="00B80719">
              <w:t>1. Compared with other students in my year I expect to do well.</w:t>
            </w:r>
          </w:p>
          <w:p w14:paraId="70757CE3" w14:textId="77777777" w:rsidR="00300E02" w:rsidRPr="00B80719" w:rsidRDefault="00300E02" w:rsidP="00374D1A">
            <w:pPr>
              <w:pStyle w:val="NoSpacing"/>
            </w:pPr>
            <w:r w:rsidRPr="00B80719">
              <w:t>2. I’m certain I can understand the ideas taught in my lessons.</w:t>
            </w:r>
          </w:p>
          <w:p w14:paraId="66450606" w14:textId="77777777" w:rsidR="00300E02" w:rsidRPr="00B80719" w:rsidRDefault="00300E02" w:rsidP="00374D1A">
            <w:pPr>
              <w:pStyle w:val="NoSpacing"/>
            </w:pPr>
            <w:r w:rsidRPr="00B80719">
              <w:t>3. I expect to do very well in this school.</w:t>
            </w:r>
          </w:p>
          <w:p w14:paraId="0105143C" w14:textId="77777777" w:rsidR="00300E02" w:rsidRPr="00B80719" w:rsidRDefault="00300E02" w:rsidP="00374D1A">
            <w:pPr>
              <w:pStyle w:val="NoSpacing"/>
            </w:pPr>
            <w:r w:rsidRPr="00B80719">
              <w:t>4. Compared with others in my year group, I think I’m a good student.</w:t>
            </w:r>
          </w:p>
          <w:p w14:paraId="3AE60588" w14:textId="6438CE4C" w:rsidR="00300E02" w:rsidRPr="00B80719" w:rsidRDefault="00300E02" w:rsidP="00374D1A">
            <w:pPr>
              <w:pStyle w:val="NoSpacing"/>
            </w:pPr>
            <w:r w:rsidRPr="00B80719">
              <w:t>5. I am sure I can do an excellent job on the problems and tasks assigned in my</w:t>
            </w:r>
            <w:r w:rsidR="00C02519">
              <w:t>3</w:t>
            </w:r>
          </w:p>
          <w:p w14:paraId="256F140A" w14:textId="77777777" w:rsidR="00300E02" w:rsidRPr="00B80719" w:rsidRDefault="00300E02" w:rsidP="00374D1A">
            <w:pPr>
              <w:pStyle w:val="NoSpacing"/>
            </w:pPr>
            <w:r w:rsidRPr="00B80719">
              <w:t>lessons.</w:t>
            </w:r>
          </w:p>
          <w:p w14:paraId="31609C93" w14:textId="77777777" w:rsidR="00300E02" w:rsidRPr="00B80719" w:rsidRDefault="00300E02" w:rsidP="00374D1A">
            <w:pPr>
              <w:pStyle w:val="NoSpacing"/>
            </w:pPr>
            <w:r w:rsidRPr="00B80719">
              <w:t>6. I think I will receive good grades in my classes.</w:t>
            </w:r>
          </w:p>
          <w:p w14:paraId="62637E2E" w14:textId="77777777" w:rsidR="00300E02" w:rsidRPr="00B80719" w:rsidRDefault="00300E02" w:rsidP="00374D1A">
            <w:pPr>
              <w:pStyle w:val="NoSpacing"/>
            </w:pPr>
            <w:r w:rsidRPr="00B80719">
              <w:t>7. My study skills are excellent compared with others in my year.</w:t>
            </w:r>
          </w:p>
          <w:p w14:paraId="1DEC8F31" w14:textId="77777777" w:rsidR="00300E02" w:rsidRPr="00B80719" w:rsidRDefault="00300E02" w:rsidP="00374D1A">
            <w:pPr>
              <w:pStyle w:val="NoSpacing"/>
            </w:pPr>
            <w:r w:rsidRPr="00B80719">
              <w:t>8. Compared with other students in my school I think I know a great deal about</w:t>
            </w:r>
          </w:p>
          <w:p w14:paraId="173E1488" w14:textId="77777777" w:rsidR="00300E02" w:rsidRPr="00B80719" w:rsidRDefault="00300E02" w:rsidP="00374D1A">
            <w:pPr>
              <w:pStyle w:val="NoSpacing"/>
            </w:pPr>
            <w:r w:rsidRPr="00B80719">
              <w:t>my subjects.</w:t>
            </w:r>
          </w:p>
          <w:p w14:paraId="43A6750E" w14:textId="77777777" w:rsidR="00300E02" w:rsidRPr="00B80719" w:rsidRDefault="00300E02" w:rsidP="00374D1A">
            <w:pPr>
              <w:pStyle w:val="NoSpacing"/>
            </w:pPr>
            <w:r w:rsidRPr="00B80719">
              <w:t>9. I know that I will be able to learn the material for this year</w:t>
            </w:r>
          </w:p>
        </w:tc>
      </w:tr>
      <w:tr w:rsidR="00300E02" w:rsidRPr="00B80719" w14:paraId="6E48C335" w14:textId="77777777" w:rsidTr="70B11DE6">
        <w:trPr>
          <w:trHeight w:val="300"/>
        </w:trPr>
        <w:tc>
          <w:tcPr>
            <w:tcW w:w="4515" w:type="dxa"/>
          </w:tcPr>
          <w:p w14:paraId="645DBBD0" w14:textId="77777777" w:rsidR="00300E02" w:rsidRPr="00B80719" w:rsidRDefault="00300E02" w:rsidP="00374D1A">
            <w:pPr>
              <w:pStyle w:val="NoSpacing"/>
            </w:pPr>
            <w:r w:rsidRPr="00B80719">
              <w:t>Self-reported motivation</w:t>
            </w:r>
          </w:p>
          <w:p w14:paraId="1599550B" w14:textId="77777777" w:rsidR="004C206C" w:rsidRPr="00B80719" w:rsidRDefault="004C206C" w:rsidP="004C206C">
            <w:pPr>
              <w:pStyle w:val="NoSpacing"/>
            </w:pPr>
          </w:p>
          <w:p w14:paraId="7AFB02A2" w14:textId="09D6EEF1" w:rsidR="004C206C" w:rsidRPr="00B80719" w:rsidRDefault="004C206C" w:rsidP="004C206C">
            <w:pPr>
              <w:pStyle w:val="NoSpacing"/>
            </w:pPr>
            <w:r w:rsidRPr="00B80719">
              <w:t>1: Not at all like me</w:t>
            </w:r>
          </w:p>
          <w:p w14:paraId="42621FF3" w14:textId="4A145A3F" w:rsidR="004C206C" w:rsidRPr="00B80719" w:rsidRDefault="004C206C" w:rsidP="00374D1A">
            <w:pPr>
              <w:pStyle w:val="NoSpacing"/>
            </w:pPr>
            <w:r w:rsidRPr="00B80719">
              <w:t>7: Very like me</w:t>
            </w:r>
          </w:p>
        </w:tc>
        <w:tc>
          <w:tcPr>
            <w:tcW w:w="4608" w:type="dxa"/>
          </w:tcPr>
          <w:p w14:paraId="49707B0D" w14:textId="77777777" w:rsidR="00300E02" w:rsidRPr="00B80719" w:rsidRDefault="00300E02" w:rsidP="00374D1A">
            <w:pPr>
              <w:pStyle w:val="NoSpacing"/>
            </w:pPr>
            <w:r w:rsidRPr="00B80719">
              <w:t>Coachbright items:</w:t>
            </w:r>
          </w:p>
          <w:p w14:paraId="7B2D9063" w14:textId="77777777" w:rsidR="00300E02" w:rsidRPr="00B80719" w:rsidRDefault="00300E02" w:rsidP="00374D1A">
            <w:pPr>
              <w:pStyle w:val="NoSpacing"/>
            </w:pPr>
            <w:r w:rsidRPr="00B80719">
              <w:t>1. I prefer schoolwork that is challenging so I can learn new things.</w:t>
            </w:r>
          </w:p>
          <w:p w14:paraId="1E093109" w14:textId="77777777" w:rsidR="00300E02" w:rsidRPr="00B80719" w:rsidRDefault="00300E02" w:rsidP="00374D1A">
            <w:pPr>
              <w:pStyle w:val="NoSpacing"/>
            </w:pPr>
            <w:r w:rsidRPr="00B80719">
              <w:t>2. It is important for me to learn what is being taught in my lessons.</w:t>
            </w:r>
          </w:p>
          <w:p w14:paraId="61AADE8A" w14:textId="77777777" w:rsidR="00300E02" w:rsidRPr="00B80719" w:rsidRDefault="00300E02" w:rsidP="00374D1A">
            <w:pPr>
              <w:pStyle w:val="NoSpacing"/>
            </w:pPr>
            <w:r w:rsidRPr="00B80719">
              <w:t>3. I like what I am learning in my lessons.</w:t>
            </w:r>
          </w:p>
          <w:p w14:paraId="73283DC7" w14:textId="77777777" w:rsidR="00300E02" w:rsidRPr="00B80719" w:rsidRDefault="00300E02" w:rsidP="00374D1A">
            <w:pPr>
              <w:pStyle w:val="NoSpacing"/>
            </w:pPr>
            <w:r w:rsidRPr="00B80719">
              <w:t>4. I think I will be able to use what I learn in one subject in other subjects.</w:t>
            </w:r>
          </w:p>
          <w:p w14:paraId="69D6FFD7" w14:textId="77777777" w:rsidR="00300E02" w:rsidRPr="00B80719" w:rsidRDefault="00300E02" w:rsidP="00374D1A">
            <w:pPr>
              <w:pStyle w:val="NoSpacing"/>
            </w:pPr>
            <w:r w:rsidRPr="00B80719">
              <w:t>5. I often choose topics I will learn something from even if they require more</w:t>
            </w:r>
          </w:p>
          <w:p w14:paraId="7821C161" w14:textId="77777777" w:rsidR="00300E02" w:rsidRPr="00B80719" w:rsidRDefault="00300E02" w:rsidP="00374D1A">
            <w:pPr>
              <w:pStyle w:val="NoSpacing"/>
            </w:pPr>
            <w:r w:rsidRPr="00B80719">
              <w:t>work.</w:t>
            </w:r>
          </w:p>
          <w:p w14:paraId="4204A41E" w14:textId="77777777" w:rsidR="00300E02" w:rsidRPr="00B80719" w:rsidRDefault="00300E02" w:rsidP="00374D1A">
            <w:pPr>
              <w:pStyle w:val="NoSpacing"/>
            </w:pPr>
            <w:r w:rsidRPr="00B80719">
              <w:lastRenderedPageBreak/>
              <w:t>6. Even when I do poorly on a test, I try to learn from my mistakes.</w:t>
            </w:r>
          </w:p>
          <w:p w14:paraId="4718F2BB" w14:textId="77777777" w:rsidR="00300E02" w:rsidRPr="00B80719" w:rsidRDefault="00300E02" w:rsidP="00374D1A">
            <w:pPr>
              <w:pStyle w:val="NoSpacing"/>
            </w:pPr>
            <w:r w:rsidRPr="00B80719">
              <w:t>7. I think that what I am learning in my lessons is useful for me to know.</w:t>
            </w:r>
          </w:p>
          <w:p w14:paraId="2324D5FD" w14:textId="77777777" w:rsidR="00300E02" w:rsidRPr="00B80719" w:rsidRDefault="00300E02" w:rsidP="00374D1A">
            <w:pPr>
              <w:pStyle w:val="NoSpacing"/>
            </w:pPr>
            <w:r w:rsidRPr="00B80719">
              <w:t>8. I think that what we are learning this year is interesting.</w:t>
            </w:r>
          </w:p>
          <w:p w14:paraId="57320D85" w14:textId="77777777" w:rsidR="00300E02" w:rsidRPr="00B80719" w:rsidRDefault="00300E02" w:rsidP="00374D1A">
            <w:pPr>
              <w:pStyle w:val="NoSpacing"/>
            </w:pPr>
            <w:r w:rsidRPr="00B80719">
              <w:t>9. Understanding my subjects is important to me.</w:t>
            </w:r>
          </w:p>
          <w:p w14:paraId="363D9384" w14:textId="77777777" w:rsidR="00300E02" w:rsidRPr="00B80719" w:rsidRDefault="00300E02" w:rsidP="00374D1A">
            <w:pPr>
              <w:pStyle w:val="NoSpacing"/>
              <w:rPr>
                <w:highlight w:val="yellow"/>
              </w:rPr>
            </w:pPr>
          </w:p>
        </w:tc>
      </w:tr>
    </w:tbl>
    <w:p w14:paraId="04BCD592" w14:textId="16D8AD44" w:rsidR="00300E02" w:rsidRPr="00B80719" w:rsidRDefault="00300E02" w:rsidP="00374D1A">
      <w:pPr>
        <w:pStyle w:val="NoSpacing"/>
      </w:pPr>
    </w:p>
    <w:p w14:paraId="34346278" w14:textId="77777777" w:rsidR="00B57594" w:rsidRPr="00B80719" w:rsidRDefault="00B57594" w:rsidP="00132506">
      <w:pPr>
        <w:pStyle w:val="Heading2"/>
        <w:jc w:val="left"/>
      </w:pPr>
      <w:bookmarkStart w:id="6" w:name="_Toc180480730"/>
      <w:bookmarkStart w:id="7" w:name="_Toc220493480"/>
      <w:r w:rsidRPr="00B80719">
        <w:t>Ethics and Data Security</w:t>
      </w:r>
      <w:bookmarkEnd w:id="6"/>
      <w:bookmarkEnd w:id="7"/>
    </w:p>
    <w:p w14:paraId="27D40BAB" w14:textId="5D3BF759" w:rsidR="70B11DE6" w:rsidRPr="00B80719" w:rsidRDefault="00B57594" w:rsidP="00C124E6">
      <w:pPr>
        <w:rPr>
          <w:rStyle w:val="normaltextrun"/>
          <w:rFonts w:ascii="Arial" w:hAnsi="Arial" w:cs="Arial"/>
          <w:color w:val="000000"/>
          <w:sz w:val="22"/>
          <w:szCs w:val="22"/>
          <w:shd w:val="clear" w:color="auto" w:fill="FFFFFF"/>
        </w:rPr>
      </w:pPr>
      <w:r w:rsidRPr="00B80719">
        <w:rPr>
          <w:rFonts w:ascii="Arial" w:hAnsi="Arial" w:cs="Arial"/>
          <w:sz w:val="22"/>
          <w:szCs w:val="22"/>
        </w:rPr>
        <w:t xml:space="preserve">Standard ethics procedures were followed, with </w:t>
      </w:r>
      <w:r w:rsidR="004C206C" w:rsidRPr="00B80719">
        <w:rPr>
          <w:rFonts w:ascii="Arial" w:hAnsi="Arial" w:cs="Arial"/>
          <w:sz w:val="22"/>
          <w:szCs w:val="22"/>
        </w:rPr>
        <w:t xml:space="preserve">student </w:t>
      </w:r>
      <w:r w:rsidRPr="00B80719">
        <w:rPr>
          <w:rFonts w:ascii="Arial" w:hAnsi="Arial" w:cs="Arial"/>
          <w:sz w:val="22"/>
          <w:szCs w:val="22"/>
        </w:rPr>
        <w:t>participants giving informed consent for their data to be used for evaluation purposes and anonymised reporting. Teachers participating in the</w:t>
      </w:r>
      <w:r w:rsidRPr="00B80719">
        <w:rPr>
          <w:rFonts w:ascii="Arial" w:hAnsi="Arial" w:cs="Arial"/>
          <w:color w:val="000000"/>
          <w:sz w:val="22"/>
          <w:szCs w:val="22"/>
          <w:shd w:val="clear" w:color="auto" w:fill="FFFFFF"/>
        </w:rPr>
        <w:t xml:space="preserve"> programme </w:t>
      </w:r>
      <w:r w:rsidRPr="00B80719">
        <w:rPr>
          <w:rStyle w:val="normaltextrun"/>
          <w:rFonts w:ascii="Arial" w:hAnsi="Arial" w:cs="Arial"/>
          <w:color w:val="000000"/>
          <w:sz w:val="22"/>
          <w:szCs w:val="22"/>
          <w:shd w:val="clear" w:color="auto" w:fill="FFFFFF"/>
        </w:rPr>
        <w:t>gave consent for their feedback to be used for evaluation purposes and reported in a way in which they won’t be identifiable.</w:t>
      </w:r>
      <w:r w:rsidR="00E735AF" w:rsidRPr="00B80719">
        <w:rPr>
          <w:rStyle w:val="normaltextrun"/>
          <w:rFonts w:ascii="Arial" w:hAnsi="Arial" w:cs="Arial"/>
          <w:color w:val="000000"/>
          <w:sz w:val="22"/>
          <w:szCs w:val="22"/>
          <w:shd w:val="clear" w:color="auto" w:fill="FFFFFF"/>
        </w:rPr>
        <w:t xml:space="preserve"> Coachbright as the data collectors ensured ethics procedures were followed</w:t>
      </w:r>
      <w:r w:rsidR="21A560FF" w:rsidRPr="00B80719">
        <w:rPr>
          <w:rStyle w:val="normaltextrun"/>
          <w:rFonts w:ascii="Arial" w:hAnsi="Arial" w:cs="Arial"/>
          <w:color w:val="000000"/>
          <w:sz w:val="22"/>
          <w:szCs w:val="22"/>
          <w:shd w:val="clear" w:color="auto" w:fill="FFFFFF"/>
        </w:rPr>
        <w:t>, as per their data sharing agreements with participating schools.</w:t>
      </w:r>
    </w:p>
    <w:p w14:paraId="5CA51351" w14:textId="77777777" w:rsidR="00C124E6" w:rsidRPr="00B80719" w:rsidRDefault="00C124E6" w:rsidP="00C124E6">
      <w:pPr>
        <w:rPr>
          <w:rFonts w:ascii="Arial" w:hAnsi="Arial" w:cs="Arial"/>
          <w:color w:val="000000" w:themeColor="text1"/>
          <w:sz w:val="22"/>
          <w:szCs w:val="22"/>
        </w:rPr>
      </w:pPr>
    </w:p>
    <w:p w14:paraId="570C617A" w14:textId="4B81B84F" w:rsidR="00300E02" w:rsidRPr="00B80719" w:rsidRDefault="00300E02" w:rsidP="00132506">
      <w:pPr>
        <w:pStyle w:val="Heading2"/>
        <w:jc w:val="left"/>
      </w:pPr>
      <w:bookmarkStart w:id="8" w:name="_Toc220493481"/>
      <w:r w:rsidRPr="00B80719">
        <w:t>Data Analysis</w:t>
      </w:r>
      <w:bookmarkEnd w:id="8"/>
    </w:p>
    <w:tbl>
      <w:tblPr>
        <w:tblStyle w:val="TableGrid"/>
        <w:tblW w:w="9122" w:type="dxa"/>
        <w:tblLook w:val="04A0" w:firstRow="1" w:lastRow="0" w:firstColumn="1" w:lastColumn="0" w:noHBand="0" w:noVBand="1"/>
      </w:tblPr>
      <w:tblGrid>
        <w:gridCol w:w="4260"/>
        <w:gridCol w:w="4862"/>
      </w:tblGrid>
      <w:tr w:rsidR="00300E02" w:rsidRPr="00B80719" w14:paraId="3AD5AB96" w14:textId="77777777" w:rsidTr="70B11DE6">
        <w:trPr>
          <w:trHeight w:val="300"/>
        </w:trPr>
        <w:tc>
          <w:tcPr>
            <w:tcW w:w="4260" w:type="dxa"/>
          </w:tcPr>
          <w:p w14:paraId="11046994" w14:textId="14A2A7B0" w:rsidR="00300E02" w:rsidRPr="00B80719" w:rsidRDefault="00300E02" w:rsidP="70B11DE6">
            <w:pPr>
              <w:pStyle w:val="NoSpacing"/>
            </w:pPr>
            <w:r w:rsidRPr="00B80719">
              <w:t xml:space="preserve">Data </w:t>
            </w:r>
            <w:r w:rsidR="3AF057B9" w:rsidRPr="00B80719">
              <w:t>C</w:t>
            </w:r>
            <w:r w:rsidRPr="00B80719">
              <w:t xml:space="preserve">ollected </w:t>
            </w:r>
          </w:p>
        </w:tc>
        <w:tc>
          <w:tcPr>
            <w:tcW w:w="4862" w:type="dxa"/>
          </w:tcPr>
          <w:p w14:paraId="71530796" w14:textId="1736BC56" w:rsidR="00300E02" w:rsidRPr="00B80719" w:rsidRDefault="22902474" w:rsidP="70B11DE6">
            <w:pPr>
              <w:pStyle w:val="NoSpacing"/>
            </w:pPr>
            <w:r w:rsidRPr="00B80719">
              <w:t>A</w:t>
            </w:r>
            <w:r w:rsidR="00300E02" w:rsidRPr="00B80719">
              <w:t xml:space="preserve">nalysis </w:t>
            </w:r>
            <w:r w:rsidR="39A8DE86" w:rsidRPr="00B80719">
              <w:t>D</w:t>
            </w:r>
            <w:r w:rsidR="00300E02" w:rsidRPr="00B80719">
              <w:t xml:space="preserve">one on this </w:t>
            </w:r>
            <w:r w:rsidR="728D9194" w:rsidRPr="00B80719">
              <w:t>D</w:t>
            </w:r>
            <w:r w:rsidR="00300E02" w:rsidRPr="00B80719">
              <w:t>ata</w:t>
            </w:r>
          </w:p>
        </w:tc>
      </w:tr>
      <w:tr w:rsidR="00300E02" w:rsidRPr="00B80719" w14:paraId="18C6FB1C" w14:textId="77777777" w:rsidTr="70B11DE6">
        <w:trPr>
          <w:trHeight w:val="300"/>
        </w:trPr>
        <w:tc>
          <w:tcPr>
            <w:tcW w:w="4260" w:type="dxa"/>
          </w:tcPr>
          <w:p w14:paraId="32246E76" w14:textId="77777777" w:rsidR="00300E02" w:rsidRPr="00B80719" w:rsidRDefault="00300E02" w:rsidP="00374D1A">
            <w:pPr>
              <w:pStyle w:val="NoSpacing"/>
            </w:pPr>
            <w:r w:rsidRPr="00B80719">
              <w:t xml:space="preserve">Self-reported metacognition (independent learning) </w:t>
            </w:r>
          </w:p>
        </w:tc>
        <w:tc>
          <w:tcPr>
            <w:tcW w:w="4862" w:type="dxa"/>
          </w:tcPr>
          <w:p w14:paraId="3AAE7DF5" w14:textId="77777777" w:rsidR="00300E02" w:rsidRPr="00B80719" w:rsidRDefault="00300E02" w:rsidP="00374D1A">
            <w:pPr>
              <w:pStyle w:val="NoSpacing"/>
              <w:rPr>
                <w:rStyle w:val="normaltextrun"/>
                <w:color w:val="000000" w:themeColor="text1"/>
                <w:sz w:val="24"/>
                <w:szCs w:val="28"/>
              </w:rPr>
            </w:pPr>
            <w:r w:rsidRPr="00B80719">
              <w:rPr>
                <w:rStyle w:val="normaltextrun"/>
                <w:color w:val="000000"/>
                <w:sz w:val="24"/>
                <w:szCs w:val="28"/>
                <w:bdr w:val="none" w:sz="0" w:space="0" w:color="auto" w:frame="1"/>
              </w:rPr>
              <w:t>Coachbright analysis of % differences before and after.</w:t>
            </w:r>
          </w:p>
          <w:p w14:paraId="5322F8B8" w14:textId="73A8ABCB" w:rsidR="00300E02" w:rsidRPr="00B80719" w:rsidRDefault="7CCF3D33" w:rsidP="00374D1A">
            <w:pPr>
              <w:pStyle w:val="NoSpacing"/>
              <w:rPr>
                <w:rStyle w:val="normaltextrun"/>
                <w:color w:val="000000" w:themeColor="text1"/>
                <w:sz w:val="24"/>
                <w:szCs w:val="24"/>
              </w:rPr>
            </w:pPr>
            <w:r w:rsidRPr="00B80719">
              <w:rPr>
                <w:rStyle w:val="normaltextrun"/>
                <w:color w:val="000000" w:themeColor="text1"/>
                <w:sz w:val="24"/>
                <w:szCs w:val="24"/>
              </w:rPr>
              <w:t>PLUS,</w:t>
            </w:r>
            <w:r w:rsidR="00300E02" w:rsidRPr="00B80719">
              <w:rPr>
                <w:rStyle w:val="normaltextrun"/>
                <w:color w:val="000000" w:themeColor="text1"/>
                <w:sz w:val="24"/>
                <w:szCs w:val="24"/>
              </w:rPr>
              <w:t xml:space="preserve"> t tests for pre and post</w:t>
            </w:r>
            <w:r w:rsidR="0091A45F" w:rsidRPr="00B80719">
              <w:rPr>
                <w:rStyle w:val="normaltextrun"/>
                <w:color w:val="000000" w:themeColor="text1"/>
                <w:sz w:val="24"/>
                <w:szCs w:val="24"/>
              </w:rPr>
              <w:t>.</w:t>
            </w:r>
          </w:p>
        </w:tc>
      </w:tr>
      <w:tr w:rsidR="00300E02" w:rsidRPr="00B80719" w14:paraId="614B3430" w14:textId="77777777" w:rsidTr="70B11DE6">
        <w:trPr>
          <w:trHeight w:val="300"/>
        </w:trPr>
        <w:tc>
          <w:tcPr>
            <w:tcW w:w="4260" w:type="dxa"/>
          </w:tcPr>
          <w:p w14:paraId="249C29EE" w14:textId="77777777" w:rsidR="00300E02" w:rsidRPr="00B80719" w:rsidRDefault="00300E02" w:rsidP="00374D1A">
            <w:pPr>
              <w:pStyle w:val="NoSpacing"/>
            </w:pPr>
            <w:r w:rsidRPr="00B80719">
              <w:t xml:space="preserve">Self-reported confidence </w:t>
            </w:r>
          </w:p>
        </w:tc>
        <w:tc>
          <w:tcPr>
            <w:tcW w:w="4862" w:type="dxa"/>
          </w:tcPr>
          <w:p w14:paraId="16015140" w14:textId="77777777" w:rsidR="00300E02" w:rsidRPr="00B80719" w:rsidRDefault="00300E02" w:rsidP="00374D1A">
            <w:pPr>
              <w:pStyle w:val="NoSpacing"/>
              <w:rPr>
                <w:rStyle w:val="normaltextrun"/>
                <w:color w:val="000000" w:themeColor="text1"/>
                <w:sz w:val="24"/>
                <w:szCs w:val="28"/>
              </w:rPr>
            </w:pPr>
            <w:r w:rsidRPr="00B80719">
              <w:rPr>
                <w:rStyle w:val="normaltextrun"/>
                <w:color w:val="000000" w:themeColor="text1"/>
                <w:sz w:val="24"/>
                <w:szCs w:val="28"/>
              </w:rPr>
              <w:t>Coachbright analysis of % differences before and after.</w:t>
            </w:r>
          </w:p>
          <w:p w14:paraId="72D64C6D" w14:textId="12A8790E" w:rsidR="00300E02" w:rsidRPr="00C02519" w:rsidRDefault="1DD0BFA8" w:rsidP="00374D1A">
            <w:pPr>
              <w:pStyle w:val="NoSpacing"/>
              <w:rPr>
                <w:color w:val="000000" w:themeColor="text1"/>
                <w:sz w:val="24"/>
                <w:szCs w:val="24"/>
              </w:rPr>
            </w:pPr>
            <w:r w:rsidRPr="00B80719">
              <w:rPr>
                <w:rStyle w:val="normaltextrun"/>
                <w:color w:val="000000" w:themeColor="text1"/>
                <w:sz w:val="24"/>
                <w:szCs w:val="24"/>
              </w:rPr>
              <w:t>PLUS,</w:t>
            </w:r>
            <w:r w:rsidR="00300E02" w:rsidRPr="00B80719">
              <w:rPr>
                <w:rStyle w:val="normaltextrun"/>
                <w:color w:val="000000" w:themeColor="text1"/>
                <w:sz w:val="24"/>
                <w:szCs w:val="24"/>
              </w:rPr>
              <w:t xml:space="preserve"> t tests for pre and post</w:t>
            </w:r>
            <w:r w:rsidR="0091A45F" w:rsidRPr="00B80719">
              <w:rPr>
                <w:rStyle w:val="normaltextrun"/>
                <w:color w:val="000000" w:themeColor="text1"/>
                <w:sz w:val="24"/>
                <w:szCs w:val="24"/>
              </w:rPr>
              <w:t>.</w:t>
            </w:r>
          </w:p>
        </w:tc>
      </w:tr>
      <w:tr w:rsidR="00300E02" w:rsidRPr="00B80719" w14:paraId="1E989779" w14:textId="77777777" w:rsidTr="70B11DE6">
        <w:trPr>
          <w:trHeight w:val="300"/>
        </w:trPr>
        <w:tc>
          <w:tcPr>
            <w:tcW w:w="4260" w:type="dxa"/>
          </w:tcPr>
          <w:p w14:paraId="1D1DF832" w14:textId="77777777" w:rsidR="00300E02" w:rsidRPr="00B80719" w:rsidRDefault="00300E02" w:rsidP="00374D1A">
            <w:pPr>
              <w:pStyle w:val="NoSpacing"/>
            </w:pPr>
            <w:r w:rsidRPr="00B80719">
              <w:t xml:space="preserve">Self-reported </w:t>
            </w:r>
            <w:bookmarkStart w:id="9" w:name="_Hlk141344173"/>
            <w:r w:rsidRPr="00B80719">
              <w:t>motivation</w:t>
            </w:r>
            <w:bookmarkEnd w:id="9"/>
            <w:r w:rsidRPr="00B80719">
              <w:t xml:space="preserve"> </w:t>
            </w:r>
          </w:p>
        </w:tc>
        <w:tc>
          <w:tcPr>
            <w:tcW w:w="4862" w:type="dxa"/>
          </w:tcPr>
          <w:p w14:paraId="21C75914" w14:textId="77777777" w:rsidR="00300E02" w:rsidRPr="00B80719" w:rsidRDefault="00300E02" w:rsidP="00374D1A">
            <w:pPr>
              <w:pStyle w:val="NoSpacing"/>
              <w:rPr>
                <w:rStyle w:val="normaltextrun"/>
                <w:color w:val="000000" w:themeColor="text1"/>
                <w:sz w:val="24"/>
                <w:szCs w:val="28"/>
              </w:rPr>
            </w:pPr>
            <w:r w:rsidRPr="00B80719">
              <w:rPr>
                <w:rStyle w:val="normaltextrun"/>
                <w:color w:val="000000" w:themeColor="text1"/>
                <w:sz w:val="24"/>
                <w:szCs w:val="28"/>
              </w:rPr>
              <w:t>Coachbright analysis of % differences before and after.</w:t>
            </w:r>
            <w:r w:rsidRPr="00B80719">
              <w:rPr>
                <w:rStyle w:val="eop"/>
                <w:color w:val="000000" w:themeColor="text1"/>
                <w:sz w:val="24"/>
                <w:szCs w:val="28"/>
              </w:rPr>
              <w:t xml:space="preserve"> </w:t>
            </w:r>
          </w:p>
          <w:p w14:paraId="5EB0A81D" w14:textId="52F13DB2" w:rsidR="00300E02" w:rsidRPr="00C02519" w:rsidRDefault="00300E02" w:rsidP="00374D1A">
            <w:pPr>
              <w:pStyle w:val="NoSpacing"/>
              <w:rPr>
                <w:rStyle w:val="eop"/>
                <w:color w:val="000000" w:themeColor="text1"/>
                <w:sz w:val="24"/>
                <w:szCs w:val="24"/>
              </w:rPr>
            </w:pPr>
            <w:r w:rsidRPr="00B80719">
              <w:rPr>
                <w:rStyle w:val="eop"/>
                <w:color w:val="000000"/>
                <w:sz w:val="24"/>
                <w:szCs w:val="24"/>
                <w:shd w:val="clear" w:color="auto" w:fill="FFFFFF"/>
              </w:rPr>
              <w:t> </w:t>
            </w:r>
            <w:r w:rsidRPr="00B80719">
              <w:rPr>
                <w:rStyle w:val="normaltextrun"/>
                <w:color w:val="000000" w:themeColor="text1"/>
                <w:sz w:val="24"/>
                <w:szCs w:val="24"/>
              </w:rPr>
              <w:t xml:space="preserve"> </w:t>
            </w:r>
            <w:r w:rsidR="5CD8D311" w:rsidRPr="00B80719">
              <w:rPr>
                <w:rStyle w:val="normaltextrun"/>
                <w:color w:val="000000" w:themeColor="text1"/>
                <w:sz w:val="24"/>
                <w:szCs w:val="24"/>
              </w:rPr>
              <w:t>PLUS,</w:t>
            </w:r>
            <w:r w:rsidRPr="00B80719">
              <w:rPr>
                <w:rStyle w:val="normaltextrun"/>
                <w:color w:val="000000" w:themeColor="text1"/>
                <w:sz w:val="24"/>
                <w:szCs w:val="24"/>
              </w:rPr>
              <w:t xml:space="preserve"> t tests for pre and post</w:t>
            </w:r>
            <w:r w:rsidR="0091A45F" w:rsidRPr="00B80719">
              <w:rPr>
                <w:rStyle w:val="normaltextrun"/>
                <w:color w:val="000000" w:themeColor="text1"/>
                <w:sz w:val="24"/>
                <w:szCs w:val="24"/>
              </w:rPr>
              <w:t>.</w:t>
            </w:r>
          </w:p>
        </w:tc>
      </w:tr>
    </w:tbl>
    <w:p w14:paraId="7EAC7706" w14:textId="38C1A214" w:rsidR="00300E02" w:rsidRPr="00B80719" w:rsidRDefault="00300E02" w:rsidP="00374D1A">
      <w:pPr>
        <w:pStyle w:val="NoSpacing"/>
      </w:pPr>
    </w:p>
    <w:p w14:paraId="7143D8D9" w14:textId="77777777" w:rsidR="00A24BC2" w:rsidRPr="00B80719" w:rsidRDefault="00A24BC2" w:rsidP="00132506">
      <w:pPr>
        <w:pStyle w:val="Heading2"/>
        <w:jc w:val="left"/>
      </w:pPr>
      <w:bookmarkStart w:id="10" w:name="_Toc220493482"/>
      <w:r w:rsidRPr="00B80719">
        <w:t>Limitations</w:t>
      </w:r>
      <w:bookmarkEnd w:id="10"/>
    </w:p>
    <w:p w14:paraId="0F7207B1" w14:textId="07C3A207" w:rsidR="00EE6750" w:rsidRPr="00EE6750" w:rsidRDefault="00A24BC2" w:rsidP="00374D1A">
      <w:pPr>
        <w:pStyle w:val="NoSpacing"/>
      </w:pPr>
      <w:r w:rsidRPr="00B80719">
        <w:t>There is one</w:t>
      </w:r>
      <w:r w:rsidR="00A94A36" w:rsidRPr="00B80719">
        <w:t xml:space="preserve"> main</w:t>
      </w:r>
      <w:r w:rsidRPr="00B80719">
        <w:t xml:space="preserve"> limitation </w:t>
      </w:r>
      <w:r w:rsidR="00A94A36" w:rsidRPr="00B80719">
        <w:t xml:space="preserve">of the current </w:t>
      </w:r>
      <w:r w:rsidR="26E41CEA" w:rsidRPr="00B80719">
        <w:t>evaluation; the</w:t>
      </w:r>
      <w:r w:rsidR="2BD64AE4" w:rsidRPr="00B80719">
        <w:t xml:space="preserve"> fact that t</w:t>
      </w:r>
      <w:r w:rsidRPr="00B80719">
        <w:t>he paired t-Test</w:t>
      </w:r>
      <w:r w:rsidR="53212C67" w:rsidRPr="00B80719">
        <w:t xml:space="preserve"> may not be fully representative of the participant group due to a small sample size</w:t>
      </w:r>
      <w:r w:rsidRPr="00B80719">
        <w:t xml:space="preserve">. Out of </w:t>
      </w:r>
      <w:r w:rsidR="00596B20" w:rsidRPr="00B80719">
        <w:t>20</w:t>
      </w:r>
      <w:r w:rsidR="00A03457" w:rsidRPr="00B80719">
        <w:t>9</w:t>
      </w:r>
      <w:r w:rsidRPr="00B80719">
        <w:t xml:space="preserve"> participants who were surveyed as part of the programme, only </w:t>
      </w:r>
      <w:r w:rsidR="00A03457" w:rsidRPr="00B80719">
        <w:t>120, 118 and 116</w:t>
      </w:r>
      <w:r w:rsidRPr="00B80719">
        <w:t xml:space="preserve"> provided matched pre- and post-programme survey data for use in the t-Test analysis</w:t>
      </w:r>
      <w:r w:rsidR="00A03457" w:rsidRPr="00B80719">
        <w:t xml:space="preserve"> for metacognition, self-efficacy and motivation respectively.</w:t>
      </w:r>
      <w:r w:rsidRPr="00B80719">
        <w:t xml:space="preserve"> This data does encompass all schools surveyed, but in unequal numbers. This does present a potential limitation to the re</w:t>
      </w:r>
      <w:r w:rsidR="05217C7B" w:rsidRPr="00B80719">
        <w:t>presentativeness</w:t>
      </w:r>
      <w:r w:rsidRPr="00B80719">
        <w:t xml:space="preserve"> of the data</w:t>
      </w:r>
      <w:r w:rsidR="00A03457" w:rsidRPr="00B80719">
        <w:t>, as only roughly half</w:t>
      </w:r>
      <w:r w:rsidRPr="00B80719">
        <w:t xml:space="preserve"> of participants provided sufficient survey data to conduct pre- and post-programme analysis. In future, it will be important to ensure a greater breadth of data capture to ensure that the t-Test analysis is representative of a larger proportion of the overall participant population, rather than just of a third of it.</w:t>
      </w:r>
    </w:p>
    <w:p w14:paraId="55EB9CEF" w14:textId="77777777" w:rsidR="00EE6750" w:rsidRDefault="00EE6750" w:rsidP="00374D1A">
      <w:pPr>
        <w:pStyle w:val="NoSpacing"/>
        <w:rPr>
          <w:b/>
          <w:bCs/>
        </w:rPr>
      </w:pPr>
    </w:p>
    <w:p w14:paraId="10748E9E" w14:textId="249DD470" w:rsidR="11EFE9C3" w:rsidRPr="00EE6750" w:rsidRDefault="11EFE9C3" w:rsidP="00374D1A">
      <w:pPr>
        <w:pStyle w:val="NoSpacing"/>
        <w:rPr>
          <w:b/>
          <w:bCs/>
        </w:rPr>
      </w:pPr>
      <w:r w:rsidRPr="00EE6750">
        <w:rPr>
          <w:b/>
          <w:bCs/>
        </w:rPr>
        <w:t>Limitations to T-Test Analysis</w:t>
      </w:r>
    </w:p>
    <w:p w14:paraId="19F466AE" w14:textId="5D99BC1C" w:rsidR="7C389CE1" w:rsidRDefault="11EFE9C3" w:rsidP="00374D1A">
      <w:pPr>
        <w:pStyle w:val="NoSpacing"/>
      </w:pPr>
      <w:r w:rsidRPr="00B80719">
        <w:lastRenderedPageBreak/>
        <w:t xml:space="preserve">There </w:t>
      </w:r>
      <w:r w:rsidR="759C6B65" w:rsidRPr="00B80719">
        <w:t>is a</w:t>
      </w:r>
      <w:r w:rsidRPr="00B80719">
        <w:t xml:space="preserve"> further limitation to the T-Test analysis, which are as follows:</w:t>
      </w:r>
    </w:p>
    <w:p w14:paraId="39451FBD" w14:textId="77777777" w:rsidR="00EE6750" w:rsidRPr="00B80719" w:rsidRDefault="00EE6750" w:rsidP="00374D1A">
      <w:pPr>
        <w:pStyle w:val="NoSpacing"/>
      </w:pPr>
    </w:p>
    <w:p w14:paraId="5FB62A67" w14:textId="4C41501C" w:rsidR="11EFE9C3" w:rsidRPr="00B80719" w:rsidRDefault="11EFE9C3" w:rsidP="00B0146B">
      <w:pPr>
        <w:pStyle w:val="ListParagraph"/>
        <w:numPr>
          <w:ilvl w:val="0"/>
          <w:numId w:val="14"/>
        </w:numPr>
        <w:rPr>
          <w:rFonts w:ascii="Arial" w:hAnsi="Arial" w:cs="Arial"/>
        </w:rPr>
      </w:pPr>
      <w:r w:rsidRPr="00B80719">
        <w:rPr>
          <w:rFonts w:ascii="Arial" w:hAnsi="Arial" w:cs="Arial"/>
          <w:b/>
          <w:bCs/>
          <w:i/>
          <w:iCs/>
        </w:rPr>
        <w:t xml:space="preserve">Overestimation of Self-Reported Abilities: </w:t>
      </w:r>
      <w:r w:rsidRPr="00B80719">
        <w:rPr>
          <w:rFonts w:ascii="Arial" w:hAnsi="Arial" w:cs="Arial"/>
        </w:rPr>
        <w:t>Participants often gave higher ratings in their pre-sessional surveys than their post-sessional surveys. Given that it is unlikely that the sessions caused regression in their abilities, this is symptomatic of overconfidence or a lack of understanding of the questions, which may have skewed the data.</w:t>
      </w:r>
    </w:p>
    <w:p w14:paraId="5359ED02" w14:textId="274FE6B9" w:rsidR="7510C0C7" w:rsidRPr="00B80719" w:rsidRDefault="7510C0C7" w:rsidP="7510C0C7">
      <w:pPr>
        <w:rPr>
          <w:rFonts w:ascii="Arial" w:hAnsi="Arial" w:cs="Arial"/>
        </w:rPr>
      </w:pPr>
    </w:p>
    <w:p w14:paraId="1D9C4716" w14:textId="761F7C43" w:rsidR="00C3220F" w:rsidRPr="00132506" w:rsidRDefault="00C3220F" w:rsidP="00132506">
      <w:pPr>
        <w:pStyle w:val="Heading1"/>
        <w:jc w:val="left"/>
      </w:pPr>
      <w:bookmarkStart w:id="11" w:name="_Toc220493483"/>
      <w:r w:rsidRPr="00132506">
        <w:t>Results &amp; Findings</w:t>
      </w:r>
      <w:bookmarkEnd w:id="11"/>
    </w:p>
    <w:p w14:paraId="20F524F1" w14:textId="6E748BB8" w:rsidR="001A2426" w:rsidRPr="00B80719" w:rsidRDefault="00C146BD" w:rsidP="00132506">
      <w:pPr>
        <w:pStyle w:val="Heading2"/>
        <w:jc w:val="left"/>
      </w:pPr>
      <w:bookmarkStart w:id="12" w:name="_Toc220493484"/>
      <w:r w:rsidRPr="00B80719">
        <w:t>Demographics and Participants</w:t>
      </w:r>
      <w:bookmarkEnd w:id="12"/>
    </w:p>
    <w:p w14:paraId="34672B0B" w14:textId="5A0A3459" w:rsidR="00AD68E6" w:rsidRPr="00B80719" w:rsidRDefault="00EB02B9" w:rsidP="00374D1A">
      <w:pPr>
        <w:pStyle w:val="NoSpacing"/>
      </w:pPr>
      <w:r w:rsidRPr="00B80719">
        <w:t xml:space="preserve">A total of </w:t>
      </w:r>
      <w:r w:rsidR="0083295D" w:rsidRPr="00B80719">
        <w:t>5</w:t>
      </w:r>
      <w:r w:rsidRPr="00B80719">
        <w:t xml:space="preserve"> schools’ pupils were surveyed during the 202</w:t>
      </w:r>
      <w:r w:rsidR="004B7CDD" w:rsidRPr="00B80719">
        <w:t>4</w:t>
      </w:r>
      <w:r w:rsidRPr="00B80719">
        <w:t>/202</w:t>
      </w:r>
      <w:r w:rsidR="004B7CDD" w:rsidRPr="00B80719">
        <w:t>5</w:t>
      </w:r>
      <w:r w:rsidRPr="00B80719">
        <w:t xml:space="preserve"> Coachbright programme. Across these schools, </w:t>
      </w:r>
      <w:r w:rsidR="0083295D" w:rsidRPr="00B80719">
        <w:t>209</w:t>
      </w:r>
      <w:r w:rsidR="00202F08" w:rsidRPr="00B80719">
        <w:t xml:space="preserve"> pupils participated, with </w:t>
      </w:r>
      <w:r w:rsidR="00993749" w:rsidRPr="00B80719">
        <w:t>the following d</w:t>
      </w:r>
      <w:r w:rsidR="00202F08" w:rsidRPr="00B80719">
        <w:t>emographic characteristics</w:t>
      </w:r>
      <w:r w:rsidR="00993749" w:rsidRPr="00B80719">
        <w:t>:</w:t>
      </w:r>
    </w:p>
    <w:p w14:paraId="7CFE49A8" w14:textId="32749E6E" w:rsidR="70B11DE6" w:rsidRPr="00B80719" w:rsidRDefault="70B11DE6" w:rsidP="70B11DE6">
      <w:pPr>
        <w:pStyle w:val="NoSpacing"/>
      </w:pPr>
    </w:p>
    <w:tbl>
      <w:tblPr>
        <w:tblStyle w:val="TableGrid"/>
        <w:tblW w:w="0" w:type="auto"/>
        <w:tblLayout w:type="fixed"/>
        <w:tblLook w:val="06A0" w:firstRow="1" w:lastRow="0" w:firstColumn="1" w:lastColumn="0" w:noHBand="1" w:noVBand="1"/>
      </w:tblPr>
      <w:tblGrid>
        <w:gridCol w:w="3005"/>
        <w:gridCol w:w="3005"/>
        <w:gridCol w:w="3005"/>
      </w:tblGrid>
      <w:tr w:rsidR="70B11DE6" w:rsidRPr="00B80719" w14:paraId="31F3FBB9" w14:textId="77777777" w:rsidTr="70B11DE6">
        <w:trPr>
          <w:trHeight w:val="300"/>
        </w:trPr>
        <w:tc>
          <w:tcPr>
            <w:tcW w:w="3005" w:type="dxa"/>
          </w:tcPr>
          <w:p w14:paraId="0B262B7C" w14:textId="2E5C468E" w:rsidR="573224CD" w:rsidRPr="00B80719" w:rsidRDefault="573224CD" w:rsidP="70B11DE6">
            <w:pPr>
              <w:pStyle w:val="NoSpacing"/>
              <w:jc w:val="center"/>
              <w:rPr>
                <w:b/>
                <w:bCs/>
                <w:i/>
                <w:iCs/>
              </w:rPr>
            </w:pPr>
            <w:r w:rsidRPr="00B80719">
              <w:rPr>
                <w:b/>
                <w:bCs/>
                <w:i/>
                <w:iCs/>
              </w:rPr>
              <w:t>Characteristic</w:t>
            </w:r>
          </w:p>
        </w:tc>
        <w:tc>
          <w:tcPr>
            <w:tcW w:w="3005" w:type="dxa"/>
          </w:tcPr>
          <w:p w14:paraId="09C89181" w14:textId="5C9582D2" w:rsidR="573224CD" w:rsidRPr="00B80719" w:rsidRDefault="573224CD" w:rsidP="70B11DE6">
            <w:pPr>
              <w:pStyle w:val="NoSpacing"/>
              <w:jc w:val="center"/>
            </w:pPr>
            <w:r w:rsidRPr="00B80719">
              <w:rPr>
                <w:b/>
                <w:bCs/>
                <w:i/>
                <w:iCs/>
              </w:rPr>
              <w:t>Number of Participants</w:t>
            </w:r>
          </w:p>
        </w:tc>
        <w:tc>
          <w:tcPr>
            <w:tcW w:w="3005" w:type="dxa"/>
          </w:tcPr>
          <w:p w14:paraId="524EDCE4" w14:textId="14B3C475" w:rsidR="573224CD" w:rsidRPr="00B80719" w:rsidRDefault="573224CD" w:rsidP="70B11DE6">
            <w:pPr>
              <w:pStyle w:val="NoSpacing"/>
              <w:jc w:val="center"/>
            </w:pPr>
            <w:r w:rsidRPr="00B80719">
              <w:rPr>
                <w:b/>
                <w:bCs/>
                <w:i/>
                <w:iCs/>
              </w:rPr>
              <w:t>Percentage of Overall Participants</w:t>
            </w:r>
          </w:p>
          <w:p w14:paraId="16D9EFAC" w14:textId="7CDEC890" w:rsidR="70B11DE6" w:rsidRPr="00B80719" w:rsidRDefault="70B11DE6" w:rsidP="70B11DE6">
            <w:pPr>
              <w:pStyle w:val="NoSpacing"/>
              <w:jc w:val="center"/>
              <w:rPr>
                <w:b/>
                <w:bCs/>
                <w:i/>
                <w:iCs/>
              </w:rPr>
            </w:pPr>
          </w:p>
        </w:tc>
      </w:tr>
      <w:tr w:rsidR="70B11DE6" w:rsidRPr="00B80719" w14:paraId="60B40511" w14:textId="77777777" w:rsidTr="70B11DE6">
        <w:trPr>
          <w:trHeight w:val="300"/>
        </w:trPr>
        <w:tc>
          <w:tcPr>
            <w:tcW w:w="3005" w:type="dxa"/>
          </w:tcPr>
          <w:p w14:paraId="75379087" w14:textId="1FAE62CA" w:rsidR="573224CD" w:rsidRPr="00B80719" w:rsidRDefault="573224CD" w:rsidP="70B11DE6">
            <w:pPr>
              <w:pStyle w:val="NoSpacing"/>
              <w:rPr>
                <w:b/>
                <w:bCs/>
              </w:rPr>
            </w:pPr>
            <w:r w:rsidRPr="00B80719">
              <w:rPr>
                <w:b/>
                <w:bCs/>
              </w:rPr>
              <w:t>Male</w:t>
            </w:r>
          </w:p>
        </w:tc>
        <w:tc>
          <w:tcPr>
            <w:tcW w:w="3005" w:type="dxa"/>
          </w:tcPr>
          <w:p w14:paraId="50480B0D" w14:textId="53A8068D" w:rsidR="573224CD" w:rsidRPr="00B80719" w:rsidRDefault="009F6D85" w:rsidP="009F6D85">
            <w:pPr>
              <w:pStyle w:val="NoSpacing"/>
              <w:jc w:val="center"/>
            </w:pPr>
            <w:r w:rsidRPr="00B80719">
              <w:t>91</w:t>
            </w:r>
          </w:p>
        </w:tc>
        <w:tc>
          <w:tcPr>
            <w:tcW w:w="3005" w:type="dxa"/>
          </w:tcPr>
          <w:p w14:paraId="48F1C1DA" w14:textId="0C7709B6" w:rsidR="573224CD" w:rsidRPr="00B80719" w:rsidRDefault="00C872FD" w:rsidP="009F6D85">
            <w:pPr>
              <w:pStyle w:val="NoSpacing"/>
              <w:jc w:val="center"/>
            </w:pPr>
            <w:r w:rsidRPr="00B80719">
              <w:t>44%</w:t>
            </w:r>
          </w:p>
        </w:tc>
      </w:tr>
      <w:tr w:rsidR="70B11DE6" w:rsidRPr="00B80719" w14:paraId="7056E8F1" w14:textId="77777777" w:rsidTr="70B11DE6">
        <w:trPr>
          <w:trHeight w:val="300"/>
        </w:trPr>
        <w:tc>
          <w:tcPr>
            <w:tcW w:w="3005" w:type="dxa"/>
          </w:tcPr>
          <w:p w14:paraId="3C7940DF" w14:textId="5EC2774A" w:rsidR="573224CD" w:rsidRPr="00B80719" w:rsidRDefault="573224CD" w:rsidP="70B11DE6">
            <w:pPr>
              <w:pStyle w:val="NoSpacing"/>
              <w:rPr>
                <w:b/>
                <w:bCs/>
              </w:rPr>
            </w:pPr>
            <w:r w:rsidRPr="00B80719">
              <w:rPr>
                <w:b/>
                <w:bCs/>
              </w:rPr>
              <w:t>Female</w:t>
            </w:r>
          </w:p>
        </w:tc>
        <w:tc>
          <w:tcPr>
            <w:tcW w:w="3005" w:type="dxa"/>
          </w:tcPr>
          <w:p w14:paraId="22EC40AD" w14:textId="48D08452" w:rsidR="573224CD" w:rsidRPr="00B80719" w:rsidRDefault="009F6D85" w:rsidP="009F6D85">
            <w:pPr>
              <w:pStyle w:val="NoSpacing"/>
              <w:jc w:val="center"/>
            </w:pPr>
            <w:r w:rsidRPr="00B80719">
              <w:t>102</w:t>
            </w:r>
          </w:p>
        </w:tc>
        <w:tc>
          <w:tcPr>
            <w:tcW w:w="3005" w:type="dxa"/>
          </w:tcPr>
          <w:p w14:paraId="43D729BA" w14:textId="2D29886A" w:rsidR="573224CD" w:rsidRPr="00B80719" w:rsidRDefault="00C872FD" w:rsidP="009F6D85">
            <w:pPr>
              <w:pStyle w:val="NoSpacing"/>
              <w:jc w:val="center"/>
            </w:pPr>
            <w:r w:rsidRPr="00B80719">
              <w:t>49%</w:t>
            </w:r>
          </w:p>
        </w:tc>
      </w:tr>
      <w:tr w:rsidR="70B11DE6" w:rsidRPr="00B80719" w14:paraId="44A4BD5F" w14:textId="77777777" w:rsidTr="70B11DE6">
        <w:trPr>
          <w:trHeight w:val="300"/>
        </w:trPr>
        <w:tc>
          <w:tcPr>
            <w:tcW w:w="3005" w:type="dxa"/>
          </w:tcPr>
          <w:p w14:paraId="639E4F80" w14:textId="1CC255C9" w:rsidR="573224CD" w:rsidRPr="00B80719" w:rsidRDefault="573224CD" w:rsidP="70B11DE6">
            <w:pPr>
              <w:pStyle w:val="NoSpacing"/>
              <w:rPr>
                <w:b/>
                <w:bCs/>
              </w:rPr>
            </w:pPr>
            <w:r w:rsidRPr="00B80719">
              <w:rPr>
                <w:b/>
                <w:bCs/>
              </w:rPr>
              <w:t>Pupil Premium</w:t>
            </w:r>
          </w:p>
        </w:tc>
        <w:tc>
          <w:tcPr>
            <w:tcW w:w="3005" w:type="dxa"/>
          </w:tcPr>
          <w:p w14:paraId="4515C6CA" w14:textId="313D8F06" w:rsidR="573224CD" w:rsidRPr="00B80719" w:rsidRDefault="004E0449" w:rsidP="009F6D85">
            <w:pPr>
              <w:pStyle w:val="NoSpacing"/>
              <w:jc w:val="center"/>
            </w:pPr>
            <w:r w:rsidRPr="00B80719">
              <w:t>103</w:t>
            </w:r>
          </w:p>
        </w:tc>
        <w:tc>
          <w:tcPr>
            <w:tcW w:w="3005" w:type="dxa"/>
          </w:tcPr>
          <w:p w14:paraId="54CCADE4" w14:textId="0BEA9871" w:rsidR="573224CD" w:rsidRPr="00B80719" w:rsidRDefault="004E0449" w:rsidP="009F6D85">
            <w:pPr>
              <w:pStyle w:val="NoSpacing"/>
              <w:jc w:val="center"/>
            </w:pPr>
            <w:r w:rsidRPr="00B80719">
              <w:t>49%</w:t>
            </w:r>
          </w:p>
        </w:tc>
      </w:tr>
      <w:tr w:rsidR="70B11DE6" w:rsidRPr="00B80719" w14:paraId="55C9E116" w14:textId="77777777" w:rsidTr="70B11DE6">
        <w:trPr>
          <w:trHeight w:val="300"/>
        </w:trPr>
        <w:tc>
          <w:tcPr>
            <w:tcW w:w="3005" w:type="dxa"/>
          </w:tcPr>
          <w:p w14:paraId="57965A8C" w14:textId="174F2FF1" w:rsidR="573224CD" w:rsidRPr="00B80719" w:rsidRDefault="573224CD" w:rsidP="70B11DE6">
            <w:pPr>
              <w:pStyle w:val="NoSpacing"/>
              <w:rPr>
                <w:b/>
                <w:bCs/>
              </w:rPr>
            </w:pPr>
            <w:r w:rsidRPr="00B80719">
              <w:rPr>
                <w:b/>
                <w:bCs/>
              </w:rPr>
              <w:t>Looked After</w:t>
            </w:r>
          </w:p>
        </w:tc>
        <w:tc>
          <w:tcPr>
            <w:tcW w:w="3005" w:type="dxa"/>
          </w:tcPr>
          <w:p w14:paraId="02C7E704" w14:textId="455B37C8" w:rsidR="573224CD" w:rsidRPr="00B80719" w:rsidRDefault="007D6E6B" w:rsidP="009F6D85">
            <w:pPr>
              <w:pStyle w:val="NoSpacing"/>
              <w:jc w:val="center"/>
            </w:pPr>
            <w:r w:rsidRPr="00B80719">
              <w:t>3</w:t>
            </w:r>
          </w:p>
        </w:tc>
        <w:tc>
          <w:tcPr>
            <w:tcW w:w="3005" w:type="dxa"/>
          </w:tcPr>
          <w:p w14:paraId="08802ABC" w14:textId="7CD74726" w:rsidR="573224CD" w:rsidRPr="00B80719" w:rsidRDefault="00884CF1" w:rsidP="009F6D85">
            <w:pPr>
              <w:pStyle w:val="NoSpacing"/>
              <w:jc w:val="center"/>
            </w:pPr>
            <w:r w:rsidRPr="00B80719">
              <w:t>1%</w:t>
            </w:r>
          </w:p>
        </w:tc>
      </w:tr>
      <w:tr w:rsidR="70B11DE6" w:rsidRPr="00B80719" w14:paraId="2D600178" w14:textId="77777777" w:rsidTr="70B11DE6">
        <w:trPr>
          <w:trHeight w:val="300"/>
        </w:trPr>
        <w:tc>
          <w:tcPr>
            <w:tcW w:w="3005" w:type="dxa"/>
          </w:tcPr>
          <w:p w14:paraId="611467D6" w14:textId="2DF663FC" w:rsidR="573224CD" w:rsidRPr="00B80719" w:rsidRDefault="573224CD" w:rsidP="70B11DE6">
            <w:pPr>
              <w:pStyle w:val="NoSpacing"/>
              <w:rPr>
                <w:b/>
                <w:bCs/>
              </w:rPr>
            </w:pPr>
            <w:r w:rsidRPr="00B80719">
              <w:rPr>
                <w:b/>
                <w:bCs/>
              </w:rPr>
              <w:t>FSM</w:t>
            </w:r>
          </w:p>
        </w:tc>
        <w:tc>
          <w:tcPr>
            <w:tcW w:w="3005" w:type="dxa"/>
          </w:tcPr>
          <w:p w14:paraId="4D3F0849" w14:textId="47BC8B39" w:rsidR="573224CD" w:rsidRPr="00B80719" w:rsidRDefault="006A44F1" w:rsidP="009F6D85">
            <w:pPr>
              <w:pStyle w:val="NoSpacing"/>
              <w:jc w:val="center"/>
            </w:pPr>
            <w:r w:rsidRPr="00B80719">
              <w:t>63</w:t>
            </w:r>
          </w:p>
        </w:tc>
        <w:tc>
          <w:tcPr>
            <w:tcW w:w="3005" w:type="dxa"/>
          </w:tcPr>
          <w:p w14:paraId="1881806A" w14:textId="3EA6F26E" w:rsidR="573224CD" w:rsidRPr="00B80719" w:rsidRDefault="006A44F1" w:rsidP="009F6D85">
            <w:pPr>
              <w:pStyle w:val="NoSpacing"/>
              <w:jc w:val="center"/>
            </w:pPr>
            <w:r w:rsidRPr="00B80719">
              <w:t>30%</w:t>
            </w:r>
          </w:p>
        </w:tc>
      </w:tr>
      <w:tr w:rsidR="70B11DE6" w:rsidRPr="00B80719" w14:paraId="1FEA65CF" w14:textId="77777777" w:rsidTr="70B11DE6">
        <w:trPr>
          <w:trHeight w:val="300"/>
        </w:trPr>
        <w:tc>
          <w:tcPr>
            <w:tcW w:w="3005" w:type="dxa"/>
          </w:tcPr>
          <w:p w14:paraId="02ED44AF" w14:textId="495D299C" w:rsidR="573224CD" w:rsidRPr="00B80719" w:rsidRDefault="573224CD" w:rsidP="70B11DE6">
            <w:pPr>
              <w:pStyle w:val="NoSpacing"/>
              <w:rPr>
                <w:b/>
                <w:bCs/>
              </w:rPr>
            </w:pPr>
            <w:r w:rsidRPr="00B80719">
              <w:rPr>
                <w:b/>
                <w:bCs/>
              </w:rPr>
              <w:t>SEND</w:t>
            </w:r>
          </w:p>
        </w:tc>
        <w:tc>
          <w:tcPr>
            <w:tcW w:w="3005" w:type="dxa"/>
          </w:tcPr>
          <w:p w14:paraId="5E63E288" w14:textId="18ECA047" w:rsidR="573224CD" w:rsidRPr="00B80719" w:rsidRDefault="003550F3" w:rsidP="009F6D85">
            <w:pPr>
              <w:pStyle w:val="NoSpacing"/>
              <w:jc w:val="center"/>
            </w:pPr>
            <w:r w:rsidRPr="00B80719">
              <w:t>26</w:t>
            </w:r>
          </w:p>
        </w:tc>
        <w:tc>
          <w:tcPr>
            <w:tcW w:w="3005" w:type="dxa"/>
          </w:tcPr>
          <w:p w14:paraId="14E5E491" w14:textId="621DD9B9" w:rsidR="573224CD" w:rsidRPr="00B80719" w:rsidRDefault="003550F3" w:rsidP="009F6D85">
            <w:pPr>
              <w:pStyle w:val="NoSpacing"/>
              <w:jc w:val="center"/>
            </w:pPr>
            <w:r w:rsidRPr="00B80719">
              <w:t>12%</w:t>
            </w:r>
          </w:p>
        </w:tc>
      </w:tr>
      <w:tr w:rsidR="70B11DE6" w:rsidRPr="00B80719" w14:paraId="297C2038" w14:textId="77777777" w:rsidTr="70B11DE6">
        <w:trPr>
          <w:trHeight w:val="300"/>
        </w:trPr>
        <w:tc>
          <w:tcPr>
            <w:tcW w:w="3005" w:type="dxa"/>
          </w:tcPr>
          <w:p w14:paraId="3F306FEB" w14:textId="4EB4A441" w:rsidR="573224CD" w:rsidRPr="00B80719" w:rsidRDefault="573224CD" w:rsidP="70B11DE6">
            <w:pPr>
              <w:pStyle w:val="NoSpacing"/>
              <w:rPr>
                <w:b/>
                <w:bCs/>
              </w:rPr>
            </w:pPr>
            <w:r w:rsidRPr="00B80719">
              <w:rPr>
                <w:b/>
                <w:bCs/>
              </w:rPr>
              <w:t>EAL</w:t>
            </w:r>
          </w:p>
        </w:tc>
        <w:tc>
          <w:tcPr>
            <w:tcW w:w="3005" w:type="dxa"/>
          </w:tcPr>
          <w:p w14:paraId="6482F49E" w14:textId="77537F27" w:rsidR="573224CD" w:rsidRPr="00B80719" w:rsidRDefault="00B73EB8" w:rsidP="009F6D85">
            <w:pPr>
              <w:pStyle w:val="NoSpacing"/>
              <w:jc w:val="center"/>
            </w:pPr>
            <w:r w:rsidRPr="00B80719">
              <w:t>43</w:t>
            </w:r>
          </w:p>
        </w:tc>
        <w:tc>
          <w:tcPr>
            <w:tcW w:w="3005" w:type="dxa"/>
          </w:tcPr>
          <w:p w14:paraId="257C43FE" w14:textId="5B264CCC" w:rsidR="573224CD" w:rsidRPr="00B80719" w:rsidRDefault="00B73EB8" w:rsidP="009F6D85">
            <w:pPr>
              <w:pStyle w:val="NoSpacing"/>
              <w:jc w:val="center"/>
            </w:pPr>
            <w:r w:rsidRPr="00B80719">
              <w:t>21%</w:t>
            </w:r>
          </w:p>
        </w:tc>
      </w:tr>
    </w:tbl>
    <w:p w14:paraId="12669ECC" w14:textId="77777777" w:rsidR="00993749" w:rsidRPr="00B80719" w:rsidRDefault="00993749" w:rsidP="00374D1A">
      <w:pPr>
        <w:pStyle w:val="NoSpacing"/>
      </w:pPr>
    </w:p>
    <w:p w14:paraId="7EAD3B83" w14:textId="591C5567" w:rsidR="00993749" w:rsidRPr="00B80719" w:rsidRDefault="00EA0485" w:rsidP="00374D1A">
      <w:pPr>
        <w:pStyle w:val="NoSpacing"/>
      </w:pPr>
      <w:r w:rsidRPr="00B80719">
        <w:t>A breakdown of the</w:t>
      </w:r>
      <w:r w:rsidR="00E50ED2" w:rsidRPr="00B80719">
        <w:t xml:space="preserve"> ethnic demographics of participants in the 2024/2025 Coachbright programme</w:t>
      </w:r>
      <w:r w:rsidRPr="00B80719">
        <w:t xml:space="preserve"> is as follows:</w:t>
      </w:r>
    </w:p>
    <w:p w14:paraId="1D4BF7C1" w14:textId="77777777" w:rsidR="00EA0485" w:rsidRPr="00B80719" w:rsidRDefault="00EA0485" w:rsidP="00374D1A">
      <w:pPr>
        <w:pStyle w:val="NoSpacing"/>
      </w:pPr>
    </w:p>
    <w:p w14:paraId="711363CC" w14:textId="66E42956" w:rsidR="00C4201D" w:rsidRPr="00B80719" w:rsidRDefault="00C4201D" w:rsidP="00B0146B">
      <w:pPr>
        <w:pStyle w:val="NoSpacing"/>
        <w:numPr>
          <w:ilvl w:val="0"/>
          <w:numId w:val="15"/>
        </w:numPr>
      </w:pPr>
      <w:r w:rsidRPr="00B80719">
        <w:t>Asian (Includes Sub-Categories):</w:t>
      </w:r>
      <w:r w:rsidR="005E1CB5" w:rsidRPr="00B80719">
        <w:t xml:space="preserve"> </w:t>
      </w:r>
      <w:r w:rsidR="00926A6A" w:rsidRPr="00B80719">
        <w:t>20.</w:t>
      </w:r>
      <w:r w:rsidR="001A2373" w:rsidRPr="00B80719">
        <w:t>4%</w:t>
      </w:r>
    </w:p>
    <w:p w14:paraId="0FE88B90" w14:textId="4891D1F5" w:rsidR="00C4201D" w:rsidRPr="00B80719" w:rsidRDefault="00C4201D" w:rsidP="00B0146B">
      <w:pPr>
        <w:pStyle w:val="NoSpacing"/>
        <w:numPr>
          <w:ilvl w:val="0"/>
          <w:numId w:val="15"/>
        </w:numPr>
      </w:pPr>
      <w:r w:rsidRPr="00B80719">
        <w:t>Black (Includes Sub-Categories):</w:t>
      </w:r>
      <w:r w:rsidR="005E1CB5" w:rsidRPr="00B80719">
        <w:t xml:space="preserve"> </w:t>
      </w:r>
      <w:r w:rsidR="00341B16" w:rsidRPr="00B80719">
        <w:t>27%</w:t>
      </w:r>
    </w:p>
    <w:p w14:paraId="673ECFED" w14:textId="45DBFC7E" w:rsidR="00C4201D" w:rsidRPr="00B80719" w:rsidRDefault="00C4201D" w:rsidP="00B0146B">
      <w:pPr>
        <w:pStyle w:val="NoSpacing"/>
        <w:numPr>
          <w:ilvl w:val="0"/>
          <w:numId w:val="15"/>
        </w:numPr>
      </w:pPr>
      <w:r w:rsidRPr="00B80719">
        <w:t>English, Welsh, Scottish or Northern Irish:</w:t>
      </w:r>
      <w:r w:rsidR="005E1CB5" w:rsidRPr="00B80719">
        <w:t xml:space="preserve"> </w:t>
      </w:r>
      <w:r w:rsidR="00EE39A9" w:rsidRPr="00B80719">
        <w:t>29.8%</w:t>
      </w:r>
    </w:p>
    <w:p w14:paraId="6FBBB546" w14:textId="7FFE014B" w:rsidR="00C4201D" w:rsidRPr="00B80719" w:rsidRDefault="00C4201D" w:rsidP="00B0146B">
      <w:pPr>
        <w:pStyle w:val="NoSpacing"/>
        <w:numPr>
          <w:ilvl w:val="0"/>
          <w:numId w:val="15"/>
        </w:numPr>
      </w:pPr>
      <w:r w:rsidRPr="00B80719">
        <w:t>Mixed (Includes Sub-Categories):</w:t>
      </w:r>
      <w:r w:rsidR="00DC766E" w:rsidRPr="00B80719">
        <w:t xml:space="preserve"> </w:t>
      </w:r>
      <w:r w:rsidR="00FC526A" w:rsidRPr="00B80719">
        <w:t>2.8%</w:t>
      </w:r>
    </w:p>
    <w:p w14:paraId="1EA710BD" w14:textId="666806C4" w:rsidR="00C4201D" w:rsidRPr="00B80719" w:rsidRDefault="00C4201D" w:rsidP="00B0146B">
      <w:pPr>
        <w:pStyle w:val="NoSpacing"/>
        <w:numPr>
          <w:ilvl w:val="0"/>
          <w:numId w:val="15"/>
        </w:numPr>
      </w:pPr>
      <w:r w:rsidRPr="00B80719">
        <w:t>Other- Any Other Ethnic Group:</w:t>
      </w:r>
      <w:r w:rsidR="00DC766E" w:rsidRPr="00B80719">
        <w:t xml:space="preserve"> </w:t>
      </w:r>
      <w:r w:rsidR="00FC526A" w:rsidRPr="00B80719">
        <w:t>6.8%</w:t>
      </w:r>
    </w:p>
    <w:p w14:paraId="0F263A24" w14:textId="06F976AA" w:rsidR="00C4201D" w:rsidRPr="00B80719" w:rsidRDefault="00C4201D" w:rsidP="00B0146B">
      <w:pPr>
        <w:pStyle w:val="NoSpacing"/>
        <w:numPr>
          <w:ilvl w:val="0"/>
          <w:numId w:val="15"/>
        </w:numPr>
      </w:pPr>
      <w:r w:rsidRPr="00B80719">
        <w:t>White- Any Other White Background:</w:t>
      </w:r>
      <w:r w:rsidR="00DC766E" w:rsidRPr="00B80719">
        <w:t xml:space="preserve"> </w:t>
      </w:r>
      <w:r w:rsidR="00EE39A9" w:rsidRPr="00B80719">
        <w:t>13.6</w:t>
      </w:r>
      <w:r w:rsidR="00926A6A" w:rsidRPr="00B80719">
        <w:t>%</w:t>
      </w:r>
    </w:p>
    <w:p w14:paraId="2C267CCF" w14:textId="77777777" w:rsidR="00E14CBE" w:rsidRPr="00B80719" w:rsidRDefault="00E14CBE" w:rsidP="00E14CBE">
      <w:pPr>
        <w:pStyle w:val="NoSpacing"/>
      </w:pPr>
    </w:p>
    <w:p w14:paraId="13911F2E" w14:textId="6A6D1A98" w:rsidR="00E14CBE" w:rsidRPr="00B80719" w:rsidRDefault="00E14CBE" w:rsidP="00E14CBE">
      <w:pPr>
        <w:pStyle w:val="NoSpacing"/>
        <w:rPr>
          <w:i/>
          <w:iCs/>
        </w:rPr>
      </w:pPr>
      <w:r w:rsidRPr="00B80719">
        <w:rPr>
          <w:i/>
          <w:iCs/>
        </w:rPr>
        <w:t>N.B. Due to rounding</w:t>
      </w:r>
      <w:r w:rsidR="00D359C1" w:rsidRPr="00B80719">
        <w:rPr>
          <w:i/>
          <w:iCs/>
        </w:rPr>
        <w:t xml:space="preserve"> across smaller sub-categories of each major ethnic category</w:t>
      </w:r>
      <w:r w:rsidRPr="00B80719">
        <w:rPr>
          <w:i/>
          <w:iCs/>
        </w:rPr>
        <w:t>, these percentages total to 100.4%</w:t>
      </w:r>
      <w:r w:rsidR="00D359C1" w:rsidRPr="00B80719">
        <w:rPr>
          <w:i/>
          <w:iCs/>
        </w:rPr>
        <w:t>, rather than to exactly 100%.</w:t>
      </w:r>
    </w:p>
    <w:p w14:paraId="3ACDC205" w14:textId="77777777" w:rsidR="00B41163" w:rsidRPr="00B80719" w:rsidRDefault="00B41163" w:rsidP="00374D1A">
      <w:pPr>
        <w:pStyle w:val="NoSpacing"/>
      </w:pPr>
    </w:p>
    <w:p w14:paraId="446BD306" w14:textId="2240D4DB" w:rsidR="00B41163" w:rsidRPr="00B80719" w:rsidRDefault="00B41163" w:rsidP="00374D1A">
      <w:pPr>
        <w:pStyle w:val="NoSpacing"/>
      </w:pPr>
      <w:r w:rsidRPr="00B80719">
        <w:t xml:space="preserve">This demography should be considered </w:t>
      </w:r>
      <w:r w:rsidR="003763CC" w:rsidRPr="00B80719">
        <w:t>a rough outline of the percentages of different ethnicities which participating pupils identified as</w:t>
      </w:r>
      <w:r w:rsidR="00D359C1" w:rsidRPr="00B80719">
        <w:t xml:space="preserve">. </w:t>
      </w:r>
      <w:r w:rsidR="009C795F" w:rsidRPr="00B80719">
        <w:t xml:space="preserve">However, this small sample does indicate a diverse variety of different ethnic identities amongst participants. </w:t>
      </w:r>
      <w:r w:rsidR="00306A17" w:rsidRPr="00B80719">
        <w:t>In addition, the percentage of Black students participating increased from 20% in the</w:t>
      </w:r>
      <w:r w:rsidR="000B093D" w:rsidRPr="00B80719">
        <w:t xml:space="preserve"> 2023/2024 cycle to 27%, an increase of 7%, and the percentage of </w:t>
      </w:r>
      <w:r w:rsidR="000B093D" w:rsidRPr="00B80719">
        <w:lastRenderedPageBreak/>
        <w:t>Asian students participating also increased from 15% to 20.4%, an increase of 5.4%. This indicates some small success in increasing the ethnic diversity of the Coachbright programme, including in one of the key target demographics.</w:t>
      </w:r>
    </w:p>
    <w:p w14:paraId="3F30F0FA" w14:textId="756B6924" w:rsidR="00610D46" w:rsidRPr="00B80719" w:rsidRDefault="00610D46" w:rsidP="00374D1A">
      <w:pPr>
        <w:pStyle w:val="NoSpacing"/>
      </w:pPr>
    </w:p>
    <w:p w14:paraId="53720329" w14:textId="3243BF80" w:rsidR="009910B7" w:rsidRPr="00B80719" w:rsidRDefault="009910B7" w:rsidP="7510C0C7">
      <w:pPr>
        <w:pStyle w:val="NoSpacing"/>
        <w:rPr>
          <w:i/>
          <w:iCs/>
        </w:rPr>
      </w:pPr>
    </w:p>
    <w:p w14:paraId="7A1EBAE9" w14:textId="14C479EB" w:rsidR="005C205A" w:rsidRPr="00B80719" w:rsidRDefault="005C205A" w:rsidP="00132506">
      <w:pPr>
        <w:pStyle w:val="Heading2"/>
        <w:jc w:val="left"/>
      </w:pPr>
      <w:bookmarkStart w:id="13" w:name="_Toc220493485"/>
      <w:r w:rsidRPr="00B80719">
        <w:t>Results of Analysis</w:t>
      </w:r>
      <w:r w:rsidR="007B4287">
        <w:t xml:space="preserve"> </w:t>
      </w:r>
      <w:r w:rsidRPr="00B80719">
        <w:t xml:space="preserve">- </w:t>
      </w:r>
      <w:r w:rsidR="00C146BD" w:rsidRPr="00B80719">
        <w:t>Metacognition, Self-Efficacy and Motivation</w:t>
      </w:r>
      <w:bookmarkEnd w:id="13"/>
    </w:p>
    <w:p w14:paraId="76B0FA48" w14:textId="072C60A4" w:rsidR="005C205A" w:rsidRPr="00B80719" w:rsidRDefault="00A87BC4" w:rsidP="00374D1A">
      <w:pPr>
        <w:pStyle w:val="NoSpacing"/>
      </w:pPr>
      <w:r w:rsidRPr="00B80719">
        <w:t>As part of our measure of improvement in the medium term in participants’ metacognition, self-</w:t>
      </w:r>
      <w:r w:rsidR="5E1A5FEE" w:rsidRPr="00B80719">
        <w:t>efficacy,</w:t>
      </w:r>
      <w:r w:rsidRPr="00B80719">
        <w:t xml:space="preserve"> and motivation, we conducted a paired t-</w:t>
      </w:r>
      <w:r w:rsidR="00632664" w:rsidRPr="00B80719">
        <w:t>t</w:t>
      </w:r>
      <w:r w:rsidRPr="00B80719">
        <w:t xml:space="preserve">est of participants using a pre- and post-sessional survey administered by Coachbright to participating pupils. </w:t>
      </w:r>
    </w:p>
    <w:p w14:paraId="7DAD1B6B" w14:textId="1390AC52" w:rsidR="005C205A" w:rsidRPr="00B80719" w:rsidRDefault="005C205A" w:rsidP="00374D1A">
      <w:pPr>
        <w:pStyle w:val="NoSpacing"/>
      </w:pPr>
    </w:p>
    <w:p w14:paraId="5F77C59D" w14:textId="28DBD291" w:rsidR="6125E062" w:rsidRPr="00B80719" w:rsidRDefault="19B88DEE" w:rsidP="02FE60A1">
      <w:pPr>
        <w:pStyle w:val="NoSpacing"/>
        <w:ind w:firstLine="720"/>
      </w:pPr>
      <w:r>
        <w:t>Before running the T-Tests, normality tests were run to ensure data was normally distributed.</w:t>
      </w:r>
      <w:r w:rsidR="6125E062">
        <w:t xml:space="preserve"> This was done using a Shapiro-Wilk Test, and indicated that only self-efficacy was normally distributed, with metacognition and motivation requiring an alternative Wil</w:t>
      </w:r>
      <w:r w:rsidR="7CF3268C">
        <w:t>coxon Signed Ranks Test rather than a paired T-Test</w:t>
      </w:r>
      <w:r w:rsidR="2DE82643">
        <w:t>.</w:t>
      </w:r>
    </w:p>
    <w:p w14:paraId="5D961C22" w14:textId="77777777" w:rsidR="00A87BC4" w:rsidRPr="00B80719" w:rsidRDefault="00A87BC4" w:rsidP="00374D1A">
      <w:pPr>
        <w:pStyle w:val="NoSpacing"/>
      </w:pPr>
    </w:p>
    <w:p w14:paraId="4F3D6ABE" w14:textId="53886B86" w:rsidR="00A87BC4" w:rsidRPr="00B80719" w:rsidRDefault="00A87BC4" w:rsidP="00374D1A">
      <w:pPr>
        <w:pStyle w:val="NoSpacing"/>
      </w:pPr>
      <w:r w:rsidRPr="00B80719">
        <w:t xml:space="preserve">Participant responses to these questions were on a scale of 1 to </w:t>
      </w:r>
      <w:r w:rsidR="10C64910" w:rsidRPr="00B80719">
        <w:t>7 and</w:t>
      </w:r>
      <w:r w:rsidR="006B5698" w:rsidRPr="00B80719">
        <w:t xml:space="preserve"> were</w:t>
      </w:r>
      <w:r w:rsidRPr="00B80719">
        <w:t xml:space="preserve"> added together to give an aggregate pre-programme score and post-programme score for each variable. These scores were then divided by the number of questions for each variable to give a mean average score for each pupil</w:t>
      </w:r>
      <w:r w:rsidR="001A5764" w:rsidRPr="00B80719">
        <w:t>, both pre- and post-programme. A paired t-</w:t>
      </w:r>
      <w:r w:rsidR="006B5698" w:rsidRPr="00B80719">
        <w:t>t</w:t>
      </w:r>
      <w:r w:rsidR="001A5764" w:rsidRPr="00B80719">
        <w:t xml:space="preserve">est </w:t>
      </w:r>
      <w:r w:rsidR="00926617" w:rsidRPr="00B80719">
        <w:t xml:space="preserve">(or Wilcoxon Signed Ranks Test) </w:t>
      </w:r>
      <w:r w:rsidR="001A5764" w:rsidRPr="00B80719">
        <w:t>was then conducted for each variable, using these mean average scores, and an effect size was calculated.</w:t>
      </w:r>
    </w:p>
    <w:p w14:paraId="492D2A96" w14:textId="77777777" w:rsidR="001A5764" w:rsidRPr="00B80719" w:rsidRDefault="001A5764" w:rsidP="00374D1A">
      <w:pPr>
        <w:pStyle w:val="NoSpacing"/>
      </w:pPr>
    </w:p>
    <w:p w14:paraId="59E47545" w14:textId="778759AE" w:rsidR="001A5764" w:rsidRPr="00B80719" w:rsidRDefault="001A5764" w:rsidP="00374D1A">
      <w:pPr>
        <w:pStyle w:val="NoSpacing"/>
      </w:pPr>
      <w:r w:rsidRPr="00B80719">
        <w:t>The intent of this analysis was to determine whether there was any statistically significant correlation between participation in the Coachbright programme and improvements in metacognition, self-</w:t>
      </w:r>
      <w:r w:rsidR="192F1DFF" w:rsidRPr="00B80719">
        <w:t>efficacy,</w:t>
      </w:r>
      <w:r w:rsidRPr="00B80719">
        <w:t xml:space="preserve"> and motivation, as laid out in the </w:t>
      </w:r>
      <w:r w:rsidR="2B242C0F" w:rsidRPr="00B80719">
        <w:t>medium-term</w:t>
      </w:r>
      <w:r w:rsidRPr="00B80719">
        <w:t xml:space="preserve"> goals for the programme. If a statistically significant result was observed for each variable, we could be justified in claiming that the Coachbright programme may have had a significant positive </w:t>
      </w:r>
      <w:r w:rsidR="00926617" w:rsidRPr="00B80719">
        <w:t>association with</w:t>
      </w:r>
      <w:r w:rsidRPr="00B80719">
        <w:t xml:space="preserve"> pupil</w:t>
      </w:r>
      <w:r w:rsidR="00AF47C8" w:rsidRPr="00B80719">
        <w:t xml:space="preserve"> attainment, which could further correlate with long term goals such as increased GCSE attainment and participation in Higher Education.</w:t>
      </w:r>
    </w:p>
    <w:p w14:paraId="2D28D8CB" w14:textId="77777777" w:rsidR="00AF47C8" w:rsidRPr="00B80719" w:rsidRDefault="00AF47C8" w:rsidP="00374D1A">
      <w:pPr>
        <w:pStyle w:val="NoSpacing"/>
      </w:pPr>
    </w:p>
    <w:p w14:paraId="289B7FA9" w14:textId="396ECDCD" w:rsidR="00210D55" w:rsidRPr="00B80719" w:rsidRDefault="00210D55" w:rsidP="7C389CE1">
      <w:pPr>
        <w:rPr>
          <w:rFonts w:ascii="Arial" w:hAnsi="Arial" w:cs="Arial"/>
        </w:rPr>
      </w:pPr>
      <w:r w:rsidRPr="00B80719">
        <w:rPr>
          <w:rFonts w:ascii="Arial" w:hAnsi="Arial" w:cs="Arial"/>
        </w:rPr>
        <w:t>The following are the results from the paired t-Test</w:t>
      </w:r>
      <w:r w:rsidR="51790894" w:rsidRPr="00B80719">
        <w:rPr>
          <w:rFonts w:ascii="Arial" w:hAnsi="Arial" w:cs="Arial"/>
        </w:rPr>
        <w:t xml:space="preserve"> conducted for self-efficacy</w:t>
      </w:r>
      <w:r w:rsidRPr="00B80719">
        <w:rPr>
          <w:rFonts w:ascii="Arial" w:hAnsi="Arial" w:cs="Arial"/>
        </w:rPr>
        <w:t>, including relevant p-Values and effect sizes:</w:t>
      </w:r>
    </w:p>
    <w:tbl>
      <w:tblPr>
        <w:tblStyle w:val="TableGrid"/>
        <w:tblW w:w="8745" w:type="dxa"/>
        <w:tblLayout w:type="fixed"/>
        <w:tblLook w:val="06A0" w:firstRow="1" w:lastRow="0" w:firstColumn="1" w:lastColumn="0" w:noHBand="1" w:noVBand="1"/>
      </w:tblPr>
      <w:tblGrid>
        <w:gridCol w:w="1890"/>
        <w:gridCol w:w="1485"/>
        <w:gridCol w:w="1582"/>
        <w:gridCol w:w="2093"/>
        <w:gridCol w:w="1695"/>
      </w:tblGrid>
      <w:tr w:rsidR="7C389CE1" w:rsidRPr="00B80719" w14:paraId="6D85E0A0" w14:textId="77777777" w:rsidTr="55E6A232">
        <w:trPr>
          <w:trHeight w:val="300"/>
        </w:trPr>
        <w:tc>
          <w:tcPr>
            <w:tcW w:w="1890" w:type="dxa"/>
          </w:tcPr>
          <w:p w14:paraId="47FFF35C" w14:textId="2FA062CE" w:rsidR="7C389CE1" w:rsidRPr="00B80719" w:rsidRDefault="7C389CE1" w:rsidP="7C389CE1">
            <w:pPr>
              <w:rPr>
                <w:rFonts w:ascii="Arial" w:hAnsi="Arial" w:cs="Arial"/>
                <w:sz w:val="24"/>
                <w:szCs w:val="24"/>
              </w:rPr>
            </w:pPr>
          </w:p>
        </w:tc>
        <w:tc>
          <w:tcPr>
            <w:tcW w:w="1485" w:type="dxa"/>
          </w:tcPr>
          <w:p w14:paraId="644EDB01" w14:textId="50C5F65B" w:rsidR="7C389CE1" w:rsidRPr="00B80719" w:rsidRDefault="7F56D0CB" w:rsidP="7C389CE1">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Mean Before (</w:t>
            </w:r>
            <w:r w:rsidRPr="00B80719">
              <w:rPr>
                <w:rFonts w:ascii="Arial" w:eastAsia="Arial" w:hAnsi="Arial" w:cs="Arial"/>
                <w:b/>
                <w:bCs/>
                <w:i/>
                <w:iCs/>
                <w:color w:val="000000" w:themeColor="text1"/>
              </w:rPr>
              <w:t>SD</w:t>
            </w:r>
            <w:r w:rsidRPr="00B80719">
              <w:rPr>
                <w:rFonts w:ascii="Arial" w:eastAsia="Arial" w:hAnsi="Arial" w:cs="Arial"/>
                <w:b/>
                <w:bCs/>
                <w:color w:val="000000" w:themeColor="text1"/>
                <w:sz w:val="24"/>
                <w:szCs w:val="24"/>
              </w:rPr>
              <w:t>)</w:t>
            </w:r>
          </w:p>
        </w:tc>
        <w:tc>
          <w:tcPr>
            <w:tcW w:w="1582" w:type="dxa"/>
          </w:tcPr>
          <w:p w14:paraId="090D2933" w14:textId="7E82F89D" w:rsidR="7C389CE1" w:rsidRPr="00B80719" w:rsidRDefault="7F56D0CB" w:rsidP="7C389CE1">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Mean After (</w:t>
            </w:r>
            <w:r w:rsidRPr="00B80719">
              <w:rPr>
                <w:rFonts w:ascii="Arial" w:eastAsia="Arial" w:hAnsi="Arial" w:cs="Arial"/>
                <w:b/>
                <w:bCs/>
                <w:i/>
                <w:iCs/>
                <w:color w:val="000000" w:themeColor="text1"/>
              </w:rPr>
              <w:t>SD</w:t>
            </w:r>
            <w:r w:rsidRPr="00B80719">
              <w:rPr>
                <w:rFonts w:ascii="Arial" w:eastAsia="Arial" w:hAnsi="Arial" w:cs="Arial"/>
                <w:b/>
                <w:bCs/>
                <w:color w:val="000000" w:themeColor="text1"/>
                <w:sz w:val="24"/>
                <w:szCs w:val="24"/>
              </w:rPr>
              <w:t>)</w:t>
            </w:r>
          </w:p>
        </w:tc>
        <w:tc>
          <w:tcPr>
            <w:tcW w:w="2093" w:type="dxa"/>
          </w:tcPr>
          <w:p w14:paraId="6C307F40" w14:textId="21DEF7FB" w:rsidR="7C389CE1" w:rsidRPr="00B80719" w:rsidRDefault="7C389CE1" w:rsidP="7C389CE1">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Statistical Test (t Stat)</w:t>
            </w:r>
          </w:p>
        </w:tc>
        <w:tc>
          <w:tcPr>
            <w:tcW w:w="1695" w:type="dxa"/>
          </w:tcPr>
          <w:p w14:paraId="278BD4A2" w14:textId="10E8B205" w:rsidR="7C389CE1" w:rsidRPr="00B80719" w:rsidRDefault="7C389CE1" w:rsidP="7C389CE1">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Effect Size</w:t>
            </w:r>
          </w:p>
        </w:tc>
      </w:tr>
      <w:tr w:rsidR="00D85C9E" w:rsidRPr="00B80719" w14:paraId="6F33DBE0" w14:textId="77777777" w:rsidTr="55E6A232">
        <w:trPr>
          <w:trHeight w:val="300"/>
        </w:trPr>
        <w:tc>
          <w:tcPr>
            <w:tcW w:w="1890" w:type="dxa"/>
          </w:tcPr>
          <w:p w14:paraId="33675291" w14:textId="7BABFDAF" w:rsidR="00D85C9E" w:rsidRPr="00B80719" w:rsidRDefault="00D85C9E" w:rsidP="00D85C9E">
            <w:pP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Self-Efficacy</w:t>
            </w:r>
          </w:p>
        </w:tc>
        <w:tc>
          <w:tcPr>
            <w:tcW w:w="1485" w:type="dxa"/>
          </w:tcPr>
          <w:p w14:paraId="581382F0" w14:textId="77777777" w:rsidR="00CA288B" w:rsidRPr="00B80719" w:rsidRDefault="00D85C9E" w:rsidP="00D85C9E">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 xml:space="preserve"> </w:t>
            </w:r>
            <w:r w:rsidR="00CA288B" w:rsidRPr="00B80719">
              <w:rPr>
                <w:rFonts w:ascii="Arial" w:eastAsia="Arial" w:hAnsi="Arial" w:cs="Arial"/>
                <w:color w:val="000000" w:themeColor="text1"/>
                <w:sz w:val="24"/>
                <w:szCs w:val="24"/>
              </w:rPr>
              <w:t xml:space="preserve">5.00 </w:t>
            </w:r>
          </w:p>
          <w:p w14:paraId="656C3D6C" w14:textId="181AD2BE" w:rsidR="00D85C9E" w:rsidRPr="00B80719" w:rsidRDefault="00D85C9E" w:rsidP="00D85C9E">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00CA288B" w:rsidRPr="00B80719">
              <w:rPr>
                <w:rFonts w:ascii="Arial" w:eastAsia="Arial" w:hAnsi="Arial" w:cs="Arial"/>
                <w:i/>
                <w:iCs/>
                <w:color w:val="000000" w:themeColor="text1"/>
              </w:rPr>
              <w:t>1.01</w:t>
            </w:r>
            <w:r w:rsidRPr="00B80719">
              <w:rPr>
                <w:rFonts w:ascii="Arial" w:eastAsia="Arial" w:hAnsi="Arial" w:cs="Arial"/>
                <w:color w:val="000000" w:themeColor="text1"/>
                <w:sz w:val="24"/>
                <w:szCs w:val="24"/>
              </w:rPr>
              <w:t>)</w:t>
            </w:r>
          </w:p>
          <w:p w14:paraId="45D1CF0C" w14:textId="5B3BFD40" w:rsidR="00FC16B4" w:rsidRPr="00B80719" w:rsidRDefault="00FC16B4" w:rsidP="00D85C9E">
            <w:pPr>
              <w:jc w:val="center"/>
              <w:rPr>
                <w:rFonts w:ascii="Arial" w:eastAsia="Arial" w:hAnsi="Arial" w:cs="Arial"/>
                <w:color w:val="000000" w:themeColor="text1"/>
                <w:sz w:val="24"/>
                <w:szCs w:val="24"/>
              </w:rPr>
            </w:pPr>
          </w:p>
        </w:tc>
        <w:tc>
          <w:tcPr>
            <w:tcW w:w="1582" w:type="dxa"/>
          </w:tcPr>
          <w:p w14:paraId="5AA2C0C0" w14:textId="7119681E" w:rsidR="00A06D58" w:rsidRPr="00B80719" w:rsidRDefault="00CA288B" w:rsidP="00D85C9E">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5.12</w:t>
            </w:r>
            <w:r w:rsidR="00A06D58" w:rsidRPr="00B80719">
              <w:rPr>
                <w:rFonts w:ascii="Arial" w:eastAsia="Arial" w:hAnsi="Arial" w:cs="Arial"/>
                <w:color w:val="000000" w:themeColor="text1"/>
                <w:sz w:val="24"/>
                <w:szCs w:val="24"/>
              </w:rPr>
              <w:t xml:space="preserve"> </w:t>
            </w:r>
          </w:p>
          <w:p w14:paraId="6F5FF01F" w14:textId="2D845E0E" w:rsidR="00D85C9E" w:rsidRPr="00B80719" w:rsidRDefault="00D85C9E" w:rsidP="00D85C9E">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00CA288B" w:rsidRPr="00B80719">
              <w:rPr>
                <w:rFonts w:ascii="Arial" w:eastAsia="Arial" w:hAnsi="Arial" w:cs="Arial"/>
                <w:i/>
                <w:iCs/>
                <w:color w:val="000000" w:themeColor="text1"/>
              </w:rPr>
              <w:t>0.93</w:t>
            </w:r>
            <w:r w:rsidRPr="00B80719">
              <w:rPr>
                <w:rFonts w:ascii="Arial" w:eastAsia="Arial" w:hAnsi="Arial" w:cs="Arial"/>
                <w:color w:val="000000" w:themeColor="text1"/>
                <w:sz w:val="24"/>
                <w:szCs w:val="24"/>
              </w:rPr>
              <w:t>)</w:t>
            </w:r>
          </w:p>
        </w:tc>
        <w:tc>
          <w:tcPr>
            <w:tcW w:w="2093" w:type="dxa"/>
          </w:tcPr>
          <w:p w14:paraId="7B7BF959" w14:textId="07075ED4" w:rsidR="007D5A83" w:rsidRPr="00B80719" w:rsidRDefault="1C4C04F8" w:rsidP="00D85C9E">
            <w:pPr>
              <w:jc w:val="center"/>
              <w:rPr>
                <w:rFonts w:ascii="Arial" w:eastAsia="Arial" w:hAnsi="Arial" w:cs="Arial"/>
                <w:color w:val="000000" w:themeColor="text1"/>
                <w:sz w:val="24"/>
                <w:szCs w:val="24"/>
              </w:rPr>
            </w:pPr>
            <w:r w:rsidRPr="00B80719">
              <w:rPr>
                <w:rFonts w:ascii="Arial" w:eastAsia="Arial" w:hAnsi="Arial" w:cs="Arial"/>
                <w:i/>
                <w:iCs/>
                <w:color w:val="000000" w:themeColor="text1"/>
                <w:sz w:val="24"/>
                <w:szCs w:val="24"/>
              </w:rPr>
              <w:t>t (</w:t>
            </w:r>
            <w:r w:rsidR="7F29861E" w:rsidRPr="00B80719">
              <w:rPr>
                <w:rFonts w:ascii="Arial" w:eastAsia="Arial" w:hAnsi="Arial" w:cs="Arial"/>
                <w:i/>
                <w:iCs/>
                <w:color w:val="000000" w:themeColor="text1"/>
                <w:sz w:val="24"/>
                <w:szCs w:val="24"/>
              </w:rPr>
              <w:t>117</w:t>
            </w:r>
            <w:r w:rsidRPr="00B80719">
              <w:rPr>
                <w:rFonts w:ascii="Arial" w:eastAsia="Arial" w:hAnsi="Arial" w:cs="Arial"/>
                <w:i/>
                <w:iCs/>
                <w:color w:val="000000" w:themeColor="text1"/>
                <w:sz w:val="24"/>
                <w:szCs w:val="24"/>
              </w:rPr>
              <w:t>) =</w:t>
            </w:r>
            <w:r w:rsidR="007D5A83" w:rsidRPr="00B80719">
              <w:rPr>
                <w:rFonts w:ascii="Arial" w:eastAsia="Arial" w:hAnsi="Arial" w:cs="Arial"/>
                <w:i/>
                <w:iCs/>
                <w:color w:val="000000" w:themeColor="text1"/>
                <w:sz w:val="24"/>
                <w:szCs w:val="24"/>
              </w:rPr>
              <w:t xml:space="preserve"> </w:t>
            </w:r>
            <w:r w:rsidR="007D5A83" w:rsidRPr="00B80719">
              <w:rPr>
                <w:rFonts w:ascii="Arial" w:eastAsia="Arial" w:hAnsi="Arial" w:cs="Arial"/>
                <w:color w:val="000000" w:themeColor="text1"/>
                <w:sz w:val="24"/>
                <w:szCs w:val="24"/>
              </w:rPr>
              <w:t>-1.63</w:t>
            </w:r>
            <w:r w:rsidRPr="00B80719">
              <w:rPr>
                <w:rFonts w:ascii="Arial" w:eastAsia="Arial" w:hAnsi="Arial" w:cs="Arial"/>
                <w:color w:val="000000" w:themeColor="text1"/>
                <w:sz w:val="24"/>
                <w:szCs w:val="24"/>
              </w:rPr>
              <w:t xml:space="preserve"> </w:t>
            </w:r>
          </w:p>
          <w:p w14:paraId="078BF19B" w14:textId="2BD6CD1E" w:rsidR="00D85C9E" w:rsidRPr="00B80719" w:rsidRDefault="00D85C9E" w:rsidP="00D85C9E">
            <w:pPr>
              <w:jc w:val="center"/>
              <w:rPr>
                <w:rFonts w:ascii="Arial" w:eastAsia="Arial" w:hAnsi="Arial" w:cs="Arial"/>
                <w:i/>
                <w:iCs/>
                <w:color w:val="000000" w:themeColor="text1"/>
                <w:sz w:val="24"/>
                <w:szCs w:val="24"/>
              </w:rPr>
            </w:pPr>
            <w:r w:rsidRPr="00B80719">
              <w:rPr>
                <w:rFonts w:ascii="Arial" w:eastAsia="Arial" w:hAnsi="Arial" w:cs="Arial"/>
                <w:i/>
                <w:iCs/>
                <w:color w:val="000000" w:themeColor="text1"/>
                <w:sz w:val="24"/>
                <w:szCs w:val="24"/>
              </w:rPr>
              <w:t>p</w:t>
            </w:r>
            <w:r w:rsidRPr="00B80719">
              <w:rPr>
                <w:rFonts w:ascii="Arial" w:eastAsia="Arial" w:hAnsi="Arial" w:cs="Arial"/>
                <w:color w:val="000000" w:themeColor="text1"/>
                <w:sz w:val="24"/>
                <w:szCs w:val="24"/>
              </w:rPr>
              <w:t xml:space="preserve"> = </w:t>
            </w:r>
            <w:r w:rsidR="007D5A83" w:rsidRPr="00B80719">
              <w:rPr>
                <w:rFonts w:ascii="Arial" w:eastAsia="Arial" w:hAnsi="Arial" w:cs="Arial"/>
                <w:color w:val="000000" w:themeColor="text1"/>
                <w:sz w:val="24"/>
                <w:szCs w:val="24"/>
              </w:rPr>
              <w:t>0.</w:t>
            </w:r>
            <w:r w:rsidR="00395E10" w:rsidRPr="00B80719">
              <w:rPr>
                <w:rFonts w:ascii="Arial" w:eastAsia="Arial" w:hAnsi="Arial" w:cs="Arial"/>
                <w:color w:val="000000" w:themeColor="text1"/>
                <w:sz w:val="24"/>
                <w:szCs w:val="24"/>
              </w:rPr>
              <w:t>11</w:t>
            </w:r>
          </w:p>
        </w:tc>
        <w:tc>
          <w:tcPr>
            <w:tcW w:w="1695" w:type="dxa"/>
          </w:tcPr>
          <w:p w14:paraId="7868CA7B" w14:textId="7DA97492" w:rsidR="00D85C9E" w:rsidRPr="00B80719" w:rsidRDefault="4557F6E3" w:rsidP="00D85C9E">
            <w:pPr>
              <w:jc w:val="center"/>
              <w:rPr>
                <w:rFonts w:ascii="Arial" w:eastAsia="Arial" w:hAnsi="Arial" w:cs="Arial"/>
                <w:color w:val="000000" w:themeColor="text1"/>
                <w:sz w:val="24"/>
                <w:szCs w:val="24"/>
              </w:rPr>
            </w:pPr>
            <w:r w:rsidRPr="00B80719">
              <w:rPr>
                <w:rFonts w:ascii="Arial" w:eastAsia="Arial" w:hAnsi="Arial" w:cs="Arial"/>
                <w:i/>
                <w:iCs/>
                <w:color w:val="000000" w:themeColor="text1"/>
              </w:rPr>
              <w:t>d =</w:t>
            </w:r>
            <w:r w:rsidRPr="00B80719">
              <w:rPr>
                <w:rFonts w:ascii="Arial" w:eastAsia="Arial" w:hAnsi="Arial" w:cs="Arial"/>
                <w:color w:val="000000" w:themeColor="text1"/>
                <w:sz w:val="24"/>
                <w:szCs w:val="24"/>
              </w:rPr>
              <w:t xml:space="preserve"> </w:t>
            </w:r>
            <w:r w:rsidR="007D5A83" w:rsidRPr="00B80719">
              <w:rPr>
                <w:rFonts w:ascii="Arial" w:eastAsia="Arial" w:hAnsi="Arial" w:cs="Arial"/>
                <w:color w:val="000000" w:themeColor="text1"/>
                <w:sz w:val="24"/>
                <w:szCs w:val="24"/>
              </w:rPr>
              <w:t>0.12</w:t>
            </w:r>
          </w:p>
        </w:tc>
      </w:tr>
    </w:tbl>
    <w:p w14:paraId="1DC9F0CF" w14:textId="6B099372" w:rsidR="70B11DE6" w:rsidRPr="00B80719" w:rsidRDefault="70B11DE6" w:rsidP="55E6A232">
      <w:pPr>
        <w:rPr>
          <w:rFonts w:ascii="Arial" w:hAnsi="Arial" w:cs="Arial"/>
        </w:rPr>
      </w:pPr>
    </w:p>
    <w:p w14:paraId="25EE7D07" w14:textId="541B90CF" w:rsidR="7510C0C7" w:rsidRPr="00B80719" w:rsidRDefault="4B026C47" w:rsidP="55E6A232">
      <w:pPr>
        <w:rPr>
          <w:rFonts w:ascii="Arial" w:hAnsi="Arial" w:cs="Arial"/>
        </w:rPr>
      </w:pPr>
      <w:r w:rsidRPr="00B80719">
        <w:rPr>
          <w:rFonts w:ascii="Arial" w:hAnsi="Arial" w:cs="Arial"/>
        </w:rPr>
        <w:t>The following are the results from the Wilcoxon Signed Rank Tests conducted for metacognition and motivation, including relevant z-Values and effect sizes:</w:t>
      </w:r>
    </w:p>
    <w:tbl>
      <w:tblPr>
        <w:tblStyle w:val="TableGrid"/>
        <w:tblW w:w="0" w:type="auto"/>
        <w:tblLook w:val="06A0" w:firstRow="1" w:lastRow="0" w:firstColumn="1" w:lastColumn="0" w:noHBand="1" w:noVBand="1"/>
      </w:tblPr>
      <w:tblGrid>
        <w:gridCol w:w="1890"/>
        <w:gridCol w:w="1485"/>
        <w:gridCol w:w="1582"/>
        <w:gridCol w:w="2093"/>
        <w:gridCol w:w="1695"/>
      </w:tblGrid>
      <w:tr w:rsidR="55E6A232" w:rsidRPr="00B80719" w14:paraId="41547499" w14:textId="77777777" w:rsidTr="63DC655C">
        <w:trPr>
          <w:trHeight w:val="300"/>
        </w:trPr>
        <w:tc>
          <w:tcPr>
            <w:tcW w:w="1890" w:type="dxa"/>
          </w:tcPr>
          <w:p w14:paraId="0AA8E0A0" w14:textId="2FA062CE" w:rsidR="55E6A232" w:rsidRPr="00B80719" w:rsidRDefault="55E6A232" w:rsidP="55E6A232">
            <w:pPr>
              <w:rPr>
                <w:rFonts w:ascii="Arial" w:hAnsi="Arial" w:cs="Arial"/>
                <w:sz w:val="24"/>
                <w:szCs w:val="24"/>
              </w:rPr>
            </w:pPr>
          </w:p>
        </w:tc>
        <w:tc>
          <w:tcPr>
            <w:tcW w:w="1485" w:type="dxa"/>
          </w:tcPr>
          <w:p w14:paraId="34B0FC9F" w14:textId="50C5F65B" w:rsidR="55E6A232" w:rsidRPr="00B80719" w:rsidRDefault="55E6A232" w:rsidP="55E6A232">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Mean Before (</w:t>
            </w:r>
            <w:r w:rsidRPr="00B80719">
              <w:rPr>
                <w:rFonts w:ascii="Arial" w:eastAsia="Arial" w:hAnsi="Arial" w:cs="Arial"/>
                <w:b/>
                <w:bCs/>
                <w:i/>
                <w:iCs/>
                <w:color w:val="000000" w:themeColor="text1"/>
              </w:rPr>
              <w:t>SD</w:t>
            </w:r>
            <w:r w:rsidRPr="00B80719">
              <w:rPr>
                <w:rFonts w:ascii="Arial" w:eastAsia="Arial" w:hAnsi="Arial" w:cs="Arial"/>
                <w:b/>
                <w:bCs/>
                <w:color w:val="000000" w:themeColor="text1"/>
                <w:sz w:val="24"/>
                <w:szCs w:val="24"/>
              </w:rPr>
              <w:t>)</w:t>
            </w:r>
          </w:p>
        </w:tc>
        <w:tc>
          <w:tcPr>
            <w:tcW w:w="1582" w:type="dxa"/>
          </w:tcPr>
          <w:p w14:paraId="7A5174C0" w14:textId="7E82F89D" w:rsidR="55E6A232" w:rsidRPr="00B80719" w:rsidRDefault="55E6A232" w:rsidP="55E6A232">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Mean After (</w:t>
            </w:r>
            <w:r w:rsidRPr="00B80719">
              <w:rPr>
                <w:rFonts w:ascii="Arial" w:eastAsia="Arial" w:hAnsi="Arial" w:cs="Arial"/>
                <w:b/>
                <w:bCs/>
                <w:i/>
                <w:iCs/>
                <w:color w:val="000000" w:themeColor="text1"/>
              </w:rPr>
              <w:t>SD</w:t>
            </w:r>
            <w:r w:rsidRPr="00B80719">
              <w:rPr>
                <w:rFonts w:ascii="Arial" w:eastAsia="Arial" w:hAnsi="Arial" w:cs="Arial"/>
                <w:b/>
                <w:bCs/>
                <w:color w:val="000000" w:themeColor="text1"/>
                <w:sz w:val="24"/>
                <w:szCs w:val="24"/>
              </w:rPr>
              <w:t>)</w:t>
            </w:r>
          </w:p>
        </w:tc>
        <w:tc>
          <w:tcPr>
            <w:tcW w:w="2093" w:type="dxa"/>
          </w:tcPr>
          <w:p w14:paraId="50889A8C" w14:textId="7629C2E4" w:rsidR="55E6A232" w:rsidRPr="00B80719" w:rsidRDefault="55E6A232" w:rsidP="55E6A232">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Statistical Test (</w:t>
            </w:r>
            <w:r w:rsidR="10B6570F" w:rsidRPr="00B80719">
              <w:rPr>
                <w:rFonts w:ascii="Arial" w:eastAsia="Arial" w:hAnsi="Arial" w:cs="Arial"/>
                <w:b/>
                <w:bCs/>
                <w:color w:val="000000" w:themeColor="text1"/>
                <w:sz w:val="24"/>
                <w:szCs w:val="24"/>
              </w:rPr>
              <w:t>z</w:t>
            </w:r>
            <w:r w:rsidRPr="00B80719">
              <w:rPr>
                <w:rFonts w:ascii="Arial" w:eastAsia="Arial" w:hAnsi="Arial" w:cs="Arial"/>
                <w:b/>
                <w:bCs/>
                <w:color w:val="000000" w:themeColor="text1"/>
                <w:sz w:val="24"/>
                <w:szCs w:val="24"/>
              </w:rPr>
              <w:t xml:space="preserve"> Stat)</w:t>
            </w:r>
          </w:p>
        </w:tc>
        <w:tc>
          <w:tcPr>
            <w:tcW w:w="1695" w:type="dxa"/>
          </w:tcPr>
          <w:p w14:paraId="601CAE11" w14:textId="10E8B205" w:rsidR="55E6A232" w:rsidRPr="00B80719" w:rsidRDefault="55E6A232" w:rsidP="55E6A232">
            <w:pPr>
              <w:jc w:val="cente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Effect Size</w:t>
            </w:r>
          </w:p>
        </w:tc>
      </w:tr>
      <w:tr w:rsidR="55E6A232" w:rsidRPr="00B80719" w14:paraId="4FDC29E3" w14:textId="77777777" w:rsidTr="63DC655C">
        <w:trPr>
          <w:trHeight w:val="300"/>
        </w:trPr>
        <w:tc>
          <w:tcPr>
            <w:tcW w:w="1890" w:type="dxa"/>
          </w:tcPr>
          <w:p w14:paraId="3D3A480C" w14:textId="7687B9FF" w:rsidR="55E6A232" w:rsidRPr="00B80719" w:rsidRDefault="55E6A232" w:rsidP="55E6A232">
            <w:pP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 xml:space="preserve">Metacognition </w:t>
            </w:r>
          </w:p>
        </w:tc>
        <w:tc>
          <w:tcPr>
            <w:tcW w:w="1485" w:type="dxa"/>
          </w:tcPr>
          <w:p w14:paraId="30BF7714" w14:textId="77777777"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4.73</w:t>
            </w:r>
          </w:p>
          <w:p w14:paraId="3FC7E97A" w14:textId="2799511E"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Pr="00B80719">
              <w:rPr>
                <w:rFonts w:ascii="Arial" w:eastAsia="Arial" w:hAnsi="Arial" w:cs="Arial"/>
                <w:i/>
                <w:iCs/>
                <w:color w:val="000000" w:themeColor="text1"/>
              </w:rPr>
              <w:t>1.39</w:t>
            </w:r>
            <w:r w:rsidRPr="00B80719">
              <w:rPr>
                <w:rFonts w:ascii="Arial" w:eastAsia="Arial" w:hAnsi="Arial" w:cs="Arial"/>
                <w:color w:val="000000" w:themeColor="text1"/>
                <w:sz w:val="24"/>
                <w:szCs w:val="24"/>
              </w:rPr>
              <w:t>)</w:t>
            </w:r>
          </w:p>
          <w:p w14:paraId="25FFECF0" w14:textId="0F390BA7" w:rsidR="55E6A232" w:rsidRPr="00B80719" w:rsidRDefault="55E6A232" w:rsidP="55E6A232">
            <w:pPr>
              <w:jc w:val="center"/>
              <w:rPr>
                <w:rFonts w:ascii="Arial" w:eastAsia="Arial" w:hAnsi="Arial" w:cs="Arial"/>
                <w:color w:val="000000" w:themeColor="text1"/>
                <w:sz w:val="24"/>
                <w:szCs w:val="24"/>
              </w:rPr>
            </w:pPr>
          </w:p>
        </w:tc>
        <w:tc>
          <w:tcPr>
            <w:tcW w:w="1582" w:type="dxa"/>
          </w:tcPr>
          <w:p w14:paraId="27F55511" w14:textId="77777777"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 xml:space="preserve">5.14 </w:t>
            </w:r>
          </w:p>
          <w:p w14:paraId="6DEAB22D" w14:textId="35CE763A"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Pr="00B80719">
              <w:rPr>
                <w:rFonts w:ascii="Arial" w:eastAsia="Arial" w:hAnsi="Arial" w:cs="Arial"/>
                <w:i/>
                <w:iCs/>
                <w:color w:val="000000" w:themeColor="text1"/>
              </w:rPr>
              <w:t>0.86</w:t>
            </w:r>
            <w:r w:rsidRPr="00B80719">
              <w:rPr>
                <w:rFonts w:ascii="Arial" w:eastAsia="Arial" w:hAnsi="Arial" w:cs="Arial"/>
                <w:color w:val="000000" w:themeColor="text1"/>
                <w:sz w:val="24"/>
                <w:szCs w:val="24"/>
              </w:rPr>
              <w:t>)</w:t>
            </w:r>
          </w:p>
        </w:tc>
        <w:tc>
          <w:tcPr>
            <w:tcW w:w="2093" w:type="dxa"/>
          </w:tcPr>
          <w:p w14:paraId="078F0F3E" w14:textId="28284B4E" w:rsidR="57AADF64" w:rsidRPr="00B80719" w:rsidRDefault="57AADF64" w:rsidP="55E6A232">
            <w:pPr>
              <w:jc w:val="center"/>
              <w:rPr>
                <w:rFonts w:ascii="Arial" w:eastAsia="Arial" w:hAnsi="Arial" w:cs="Arial"/>
                <w:color w:val="000000" w:themeColor="text1"/>
                <w:sz w:val="24"/>
                <w:szCs w:val="24"/>
              </w:rPr>
            </w:pPr>
            <w:r w:rsidRPr="00B80719">
              <w:rPr>
                <w:rFonts w:ascii="Arial" w:eastAsia="Arial" w:hAnsi="Arial" w:cs="Arial"/>
                <w:i/>
                <w:iCs/>
                <w:color w:val="000000" w:themeColor="text1"/>
                <w:sz w:val="24"/>
                <w:szCs w:val="24"/>
              </w:rPr>
              <w:t>z</w:t>
            </w:r>
            <w:r w:rsidR="55E6A232" w:rsidRPr="00B80719">
              <w:rPr>
                <w:rFonts w:ascii="Arial" w:eastAsia="Arial" w:hAnsi="Arial" w:cs="Arial"/>
                <w:i/>
                <w:iCs/>
                <w:color w:val="000000" w:themeColor="text1"/>
                <w:sz w:val="24"/>
                <w:szCs w:val="24"/>
              </w:rPr>
              <w:t xml:space="preserve"> (119) =</w:t>
            </w:r>
            <w:r w:rsidR="55E6A232" w:rsidRPr="00B80719">
              <w:rPr>
                <w:rFonts w:ascii="Arial" w:eastAsia="Arial" w:hAnsi="Arial" w:cs="Arial"/>
                <w:color w:val="000000" w:themeColor="text1"/>
                <w:sz w:val="24"/>
                <w:szCs w:val="24"/>
              </w:rPr>
              <w:t xml:space="preserve"> -</w:t>
            </w:r>
            <w:r w:rsidR="76D19E08" w:rsidRPr="00B80719">
              <w:rPr>
                <w:rFonts w:ascii="Arial" w:eastAsia="Arial" w:hAnsi="Arial" w:cs="Arial"/>
                <w:color w:val="000000" w:themeColor="text1"/>
                <w:sz w:val="24"/>
                <w:szCs w:val="24"/>
              </w:rPr>
              <w:t>3.25</w:t>
            </w:r>
            <w:r w:rsidR="55E6A232" w:rsidRPr="00B80719">
              <w:rPr>
                <w:rFonts w:ascii="Arial" w:eastAsia="Arial" w:hAnsi="Arial" w:cs="Arial"/>
                <w:color w:val="000000" w:themeColor="text1"/>
                <w:sz w:val="24"/>
                <w:szCs w:val="24"/>
              </w:rPr>
              <w:t xml:space="preserve"> </w:t>
            </w:r>
          </w:p>
          <w:p w14:paraId="2CD4CF5B" w14:textId="3ED34505" w:rsidR="21EC02BA" w:rsidRPr="00B80719" w:rsidRDefault="21EC02BA" w:rsidP="55E6A232">
            <w:pPr>
              <w:jc w:val="center"/>
              <w:rPr>
                <w:rFonts w:ascii="Arial" w:eastAsia="Arial" w:hAnsi="Arial" w:cs="Arial"/>
                <w:color w:val="000000" w:themeColor="text1"/>
                <w:sz w:val="24"/>
                <w:szCs w:val="24"/>
              </w:rPr>
            </w:pPr>
            <w:proofErr w:type="spellStart"/>
            <w:r w:rsidRPr="00B80719">
              <w:rPr>
                <w:rFonts w:ascii="Arial" w:eastAsia="Arial" w:hAnsi="Arial" w:cs="Arial"/>
                <w:color w:val="000000" w:themeColor="text1"/>
                <w:sz w:val="24"/>
                <w:szCs w:val="24"/>
              </w:rPr>
              <w:t>Asymp</w:t>
            </w:r>
            <w:proofErr w:type="spellEnd"/>
            <w:r w:rsidRPr="00B80719">
              <w:rPr>
                <w:rFonts w:ascii="Arial" w:eastAsia="Arial" w:hAnsi="Arial" w:cs="Arial"/>
                <w:color w:val="000000" w:themeColor="text1"/>
                <w:sz w:val="24"/>
                <w:szCs w:val="24"/>
              </w:rPr>
              <w:t>. Sig. (2-Tailed)</w:t>
            </w:r>
            <w:r w:rsidR="55E6A232" w:rsidRPr="00B80719">
              <w:rPr>
                <w:rFonts w:ascii="Arial" w:eastAsia="Arial" w:hAnsi="Arial" w:cs="Arial"/>
                <w:color w:val="000000" w:themeColor="text1"/>
                <w:sz w:val="24"/>
                <w:szCs w:val="24"/>
              </w:rPr>
              <w:t xml:space="preserve"> = 0.0</w:t>
            </w:r>
            <w:r w:rsidR="5C8D27CE" w:rsidRPr="00B80719">
              <w:rPr>
                <w:rFonts w:ascii="Arial" w:eastAsia="Arial" w:hAnsi="Arial" w:cs="Arial"/>
                <w:color w:val="000000" w:themeColor="text1"/>
                <w:sz w:val="24"/>
                <w:szCs w:val="24"/>
              </w:rPr>
              <w:t>01</w:t>
            </w:r>
            <w:r w:rsidR="00FF4CC3" w:rsidRPr="00B80719">
              <w:rPr>
                <w:rFonts w:ascii="Arial" w:eastAsia="Arial" w:hAnsi="Arial" w:cs="Arial"/>
                <w:color w:val="000000" w:themeColor="text1"/>
                <w:sz w:val="24"/>
                <w:szCs w:val="24"/>
              </w:rPr>
              <w:t>**</w:t>
            </w:r>
          </w:p>
        </w:tc>
        <w:tc>
          <w:tcPr>
            <w:tcW w:w="1695" w:type="dxa"/>
          </w:tcPr>
          <w:p w14:paraId="071F6682" w14:textId="06BEB8F4"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i/>
                <w:iCs/>
                <w:color w:val="000000" w:themeColor="text1"/>
              </w:rPr>
              <w:t>d =</w:t>
            </w:r>
            <w:r w:rsidRPr="00B80719">
              <w:rPr>
                <w:rFonts w:ascii="Arial" w:eastAsia="Arial" w:hAnsi="Arial" w:cs="Arial"/>
                <w:color w:val="000000" w:themeColor="text1"/>
                <w:sz w:val="24"/>
                <w:szCs w:val="24"/>
              </w:rPr>
              <w:t xml:space="preserve"> 0.29</w:t>
            </w:r>
          </w:p>
        </w:tc>
      </w:tr>
      <w:tr w:rsidR="55E6A232" w:rsidRPr="00B80719" w14:paraId="74910587" w14:textId="77777777" w:rsidTr="63DC655C">
        <w:trPr>
          <w:trHeight w:val="300"/>
        </w:trPr>
        <w:tc>
          <w:tcPr>
            <w:tcW w:w="1890" w:type="dxa"/>
          </w:tcPr>
          <w:p w14:paraId="4EB2704A" w14:textId="6E60B1F4" w:rsidR="55E6A232" w:rsidRPr="00B80719" w:rsidRDefault="55E6A232" w:rsidP="55E6A232">
            <w:pPr>
              <w:rPr>
                <w:rFonts w:ascii="Arial" w:eastAsia="Arial" w:hAnsi="Arial" w:cs="Arial"/>
                <w:b/>
                <w:bCs/>
                <w:color w:val="000000" w:themeColor="text1"/>
                <w:sz w:val="24"/>
                <w:szCs w:val="24"/>
              </w:rPr>
            </w:pPr>
            <w:r w:rsidRPr="00B80719">
              <w:rPr>
                <w:rFonts w:ascii="Arial" w:eastAsia="Arial" w:hAnsi="Arial" w:cs="Arial"/>
                <w:b/>
                <w:bCs/>
                <w:color w:val="000000" w:themeColor="text1"/>
                <w:sz w:val="24"/>
                <w:szCs w:val="24"/>
              </w:rPr>
              <w:t>Motivation</w:t>
            </w:r>
          </w:p>
        </w:tc>
        <w:tc>
          <w:tcPr>
            <w:tcW w:w="1485" w:type="dxa"/>
          </w:tcPr>
          <w:p w14:paraId="3E1B7591" w14:textId="77777777"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 xml:space="preserve">5.18 </w:t>
            </w:r>
          </w:p>
          <w:p w14:paraId="05546D7F" w14:textId="11A1E826"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Pr="00B80719">
              <w:rPr>
                <w:rFonts w:ascii="Arial" w:eastAsia="Arial" w:hAnsi="Arial" w:cs="Arial"/>
                <w:i/>
                <w:iCs/>
                <w:color w:val="000000" w:themeColor="text1"/>
              </w:rPr>
              <w:t>1.32</w:t>
            </w:r>
            <w:r w:rsidRPr="00B80719">
              <w:rPr>
                <w:rFonts w:ascii="Arial" w:eastAsia="Arial" w:hAnsi="Arial" w:cs="Arial"/>
                <w:color w:val="000000" w:themeColor="text1"/>
                <w:sz w:val="24"/>
                <w:szCs w:val="24"/>
              </w:rPr>
              <w:t>)</w:t>
            </w:r>
          </w:p>
          <w:p w14:paraId="2BDF27C2" w14:textId="7C89CB03" w:rsidR="55E6A232" w:rsidRPr="00B80719" w:rsidRDefault="55E6A232" w:rsidP="55E6A232">
            <w:pPr>
              <w:jc w:val="center"/>
              <w:rPr>
                <w:rFonts w:ascii="Arial" w:eastAsia="Arial" w:hAnsi="Arial" w:cs="Arial"/>
                <w:color w:val="000000" w:themeColor="text1"/>
                <w:sz w:val="24"/>
                <w:szCs w:val="24"/>
              </w:rPr>
            </w:pPr>
          </w:p>
        </w:tc>
        <w:tc>
          <w:tcPr>
            <w:tcW w:w="1582" w:type="dxa"/>
          </w:tcPr>
          <w:p w14:paraId="53BB9795" w14:textId="3638D4B5"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5.10</w:t>
            </w:r>
          </w:p>
          <w:p w14:paraId="61CD0678" w14:textId="1A32719E"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color w:val="000000" w:themeColor="text1"/>
                <w:sz w:val="24"/>
                <w:szCs w:val="24"/>
              </w:rPr>
              <w:t>(</w:t>
            </w:r>
            <w:r w:rsidRPr="00B80719">
              <w:rPr>
                <w:rFonts w:ascii="Arial" w:eastAsia="Arial" w:hAnsi="Arial" w:cs="Arial"/>
                <w:i/>
                <w:iCs/>
                <w:color w:val="000000" w:themeColor="text1"/>
              </w:rPr>
              <w:t>0.84</w:t>
            </w:r>
            <w:r w:rsidRPr="00B80719">
              <w:rPr>
                <w:rFonts w:ascii="Arial" w:eastAsia="Arial" w:hAnsi="Arial" w:cs="Arial"/>
                <w:color w:val="000000" w:themeColor="text1"/>
                <w:sz w:val="24"/>
                <w:szCs w:val="24"/>
              </w:rPr>
              <w:t>)</w:t>
            </w:r>
          </w:p>
        </w:tc>
        <w:tc>
          <w:tcPr>
            <w:tcW w:w="2093" w:type="dxa"/>
          </w:tcPr>
          <w:p w14:paraId="11E39BE1" w14:textId="4D73FA1B" w:rsidR="3EEDF16E" w:rsidRPr="00B80719" w:rsidRDefault="3EEDF16E" w:rsidP="55E6A232">
            <w:pPr>
              <w:jc w:val="center"/>
              <w:rPr>
                <w:rFonts w:ascii="Arial" w:eastAsia="Arial" w:hAnsi="Arial" w:cs="Arial"/>
                <w:color w:val="000000" w:themeColor="text1"/>
                <w:sz w:val="24"/>
                <w:szCs w:val="24"/>
              </w:rPr>
            </w:pPr>
            <w:r w:rsidRPr="00B80719">
              <w:rPr>
                <w:rFonts w:ascii="Arial" w:eastAsia="Arial" w:hAnsi="Arial" w:cs="Arial"/>
                <w:i/>
                <w:iCs/>
                <w:color w:val="000000" w:themeColor="text1"/>
                <w:sz w:val="24"/>
                <w:szCs w:val="24"/>
              </w:rPr>
              <w:t>z (119) =</w:t>
            </w:r>
            <w:r w:rsidRPr="00B80719">
              <w:rPr>
                <w:rFonts w:ascii="Arial" w:eastAsia="Arial" w:hAnsi="Arial" w:cs="Arial"/>
                <w:color w:val="000000" w:themeColor="text1"/>
                <w:sz w:val="24"/>
                <w:szCs w:val="24"/>
              </w:rPr>
              <w:t xml:space="preserve"> -1.04 </w:t>
            </w:r>
          </w:p>
          <w:p w14:paraId="33843C81" w14:textId="740C2AF7" w:rsidR="55E6A232" w:rsidRPr="00B80719" w:rsidRDefault="3EEDF16E" w:rsidP="00F12F4C">
            <w:pPr>
              <w:jc w:val="center"/>
              <w:rPr>
                <w:rFonts w:ascii="Arial" w:eastAsia="Arial" w:hAnsi="Arial" w:cs="Arial"/>
                <w:color w:val="000000" w:themeColor="text1"/>
                <w:sz w:val="24"/>
                <w:szCs w:val="24"/>
              </w:rPr>
            </w:pPr>
            <w:proofErr w:type="spellStart"/>
            <w:r w:rsidRPr="00B80719">
              <w:rPr>
                <w:rFonts w:ascii="Arial" w:eastAsia="Arial" w:hAnsi="Arial" w:cs="Arial"/>
                <w:color w:val="000000" w:themeColor="text1"/>
                <w:sz w:val="24"/>
                <w:szCs w:val="24"/>
              </w:rPr>
              <w:t>Asymp</w:t>
            </w:r>
            <w:proofErr w:type="spellEnd"/>
            <w:r w:rsidRPr="00B80719">
              <w:rPr>
                <w:rFonts w:ascii="Arial" w:eastAsia="Arial" w:hAnsi="Arial" w:cs="Arial"/>
                <w:color w:val="000000" w:themeColor="text1"/>
                <w:sz w:val="24"/>
                <w:szCs w:val="24"/>
              </w:rPr>
              <w:t>. Sig. (2-Tailed) = 0.30</w:t>
            </w:r>
          </w:p>
        </w:tc>
        <w:tc>
          <w:tcPr>
            <w:tcW w:w="1695" w:type="dxa"/>
          </w:tcPr>
          <w:p w14:paraId="537B895B" w14:textId="0C8D311F" w:rsidR="55E6A232" w:rsidRPr="00B80719" w:rsidRDefault="55E6A232" w:rsidP="55E6A232">
            <w:pPr>
              <w:jc w:val="center"/>
              <w:rPr>
                <w:rFonts w:ascii="Arial" w:eastAsia="Arial" w:hAnsi="Arial" w:cs="Arial"/>
                <w:color w:val="000000" w:themeColor="text1"/>
                <w:sz w:val="24"/>
                <w:szCs w:val="24"/>
              </w:rPr>
            </w:pPr>
            <w:r w:rsidRPr="00B80719">
              <w:rPr>
                <w:rFonts w:ascii="Arial" w:eastAsia="Arial" w:hAnsi="Arial" w:cs="Arial"/>
                <w:i/>
                <w:iCs/>
                <w:color w:val="000000" w:themeColor="text1"/>
              </w:rPr>
              <w:t xml:space="preserve">d = </w:t>
            </w:r>
            <w:r w:rsidRPr="00B80719">
              <w:rPr>
                <w:rFonts w:ascii="Arial" w:eastAsia="Arial" w:hAnsi="Arial" w:cs="Arial"/>
                <w:color w:val="000000" w:themeColor="text1"/>
                <w:sz w:val="24"/>
                <w:szCs w:val="24"/>
              </w:rPr>
              <w:t>-0.06</w:t>
            </w:r>
          </w:p>
        </w:tc>
      </w:tr>
    </w:tbl>
    <w:p w14:paraId="3DC69366" w14:textId="4A0B96CD" w:rsidR="7510C0C7" w:rsidRPr="00B80719" w:rsidRDefault="00FF4CC3" w:rsidP="00FF4CC3">
      <w:pPr>
        <w:rPr>
          <w:rFonts w:ascii="Arial" w:hAnsi="Arial" w:cs="Arial"/>
        </w:rPr>
      </w:pPr>
      <w:r w:rsidRPr="00B80719">
        <w:rPr>
          <w:rFonts w:ascii="Arial" w:hAnsi="Arial" w:cs="Arial"/>
          <w:b/>
          <w:bCs/>
        </w:rPr>
        <w:t>**</w:t>
      </w:r>
      <w:r w:rsidRPr="00B80719">
        <w:rPr>
          <w:rFonts w:ascii="Arial" w:hAnsi="Arial" w:cs="Arial"/>
        </w:rPr>
        <w:t>significant at the 1% level</w:t>
      </w:r>
    </w:p>
    <w:p w14:paraId="637467C9" w14:textId="5D5AB4B6" w:rsidR="00823DB0" w:rsidRPr="00B80719" w:rsidRDefault="00CA673E" w:rsidP="70B11DE6">
      <w:pPr>
        <w:rPr>
          <w:rFonts w:ascii="Arial" w:hAnsi="Arial" w:cs="Arial"/>
          <w:b/>
          <w:bCs/>
        </w:rPr>
      </w:pPr>
      <w:r w:rsidRPr="00B80719">
        <w:rPr>
          <w:rFonts w:ascii="Arial" w:hAnsi="Arial" w:cs="Arial"/>
          <w:b/>
          <w:bCs/>
        </w:rPr>
        <w:t>Analysis of the Data</w:t>
      </w:r>
    </w:p>
    <w:p w14:paraId="1EB48403" w14:textId="41585224" w:rsidR="00A047BE" w:rsidRPr="00B80719" w:rsidRDefault="00CA673E" w:rsidP="00B0146B">
      <w:pPr>
        <w:pStyle w:val="NoSpacing"/>
        <w:numPr>
          <w:ilvl w:val="0"/>
          <w:numId w:val="16"/>
        </w:numPr>
      </w:pPr>
      <w:r w:rsidRPr="00B80719">
        <w:t xml:space="preserve">The statistical test p-values </w:t>
      </w:r>
      <w:r w:rsidR="0158D793" w:rsidRPr="00B80719">
        <w:t xml:space="preserve">and </w:t>
      </w:r>
      <w:proofErr w:type="spellStart"/>
      <w:r w:rsidR="0158D793" w:rsidRPr="00B80719">
        <w:t>Asymp</w:t>
      </w:r>
      <w:proofErr w:type="spellEnd"/>
      <w:r w:rsidR="0158D793" w:rsidRPr="00B80719">
        <w:t xml:space="preserve">. Sig. (2-Tailed) values </w:t>
      </w:r>
      <w:r w:rsidRPr="00B80719">
        <w:t>for all but one of the three variables</w:t>
      </w:r>
      <w:r w:rsidR="00787791" w:rsidRPr="00B80719">
        <w:t xml:space="preserve"> are </w:t>
      </w:r>
      <w:r w:rsidR="00896081" w:rsidRPr="00B80719">
        <w:t xml:space="preserve">not </w:t>
      </w:r>
      <w:r w:rsidR="00787791" w:rsidRPr="00B80719">
        <w:t xml:space="preserve">within the acceptable alpha of 0.05, </w:t>
      </w:r>
      <w:r w:rsidR="00896081" w:rsidRPr="00B80719">
        <w:t>the indicator of</w:t>
      </w:r>
      <w:r w:rsidR="00787791" w:rsidRPr="00B80719">
        <w:t xml:space="preserve"> potential statistical significance. The exception is for m</w:t>
      </w:r>
      <w:r w:rsidR="00896081" w:rsidRPr="00B80719">
        <w:t>etacognition</w:t>
      </w:r>
      <w:r w:rsidR="00787791" w:rsidRPr="00B80719">
        <w:t xml:space="preserve">, which is </w:t>
      </w:r>
      <w:r w:rsidR="00896081" w:rsidRPr="00B80719">
        <w:t>below</w:t>
      </w:r>
      <w:r w:rsidR="00787791" w:rsidRPr="00B80719">
        <w:t xml:space="preserve"> the alpha at 0</w:t>
      </w:r>
      <w:r w:rsidR="007D5A83" w:rsidRPr="00B80719">
        <w:t>.</w:t>
      </w:r>
      <w:r w:rsidR="00896081" w:rsidRPr="00B80719">
        <w:t>00</w:t>
      </w:r>
      <w:r w:rsidR="4321DA4C" w:rsidRPr="00B80719">
        <w:t>1</w:t>
      </w:r>
      <w:r w:rsidR="00787791" w:rsidRPr="00B80719">
        <w:t xml:space="preserve">. </w:t>
      </w:r>
      <w:r w:rsidR="001477C6" w:rsidRPr="00B80719">
        <w:t xml:space="preserve">Overall, it is likely that </w:t>
      </w:r>
      <w:r w:rsidR="00896081" w:rsidRPr="00B80719">
        <w:t>several</w:t>
      </w:r>
      <w:r w:rsidR="001477C6" w:rsidRPr="00B80719">
        <w:t xml:space="preserve"> changes observed </w:t>
      </w:r>
      <w:r w:rsidR="387E302D" w:rsidRPr="00B80719">
        <w:t>because of</w:t>
      </w:r>
      <w:r w:rsidR="001477C6" w:rsidRPr="00B80719">
        <w:t xml:space="preserve"> participation in the programme are statistically </w:t>
      </w:r>
      <w:r w:rsidR="00896081" w:rsidRPr="00B80719">
        <w:t>in</w:t>
      </w:r>
      <w:r w:rsidR="001477C6" w:rsidRPr="00B80719">
        <w:t>significant, although an exception can be made for m</w:t>
      </w:r>
      <w:r w:rsidR="00896081" w:rsidRPr="00B80719">
        <w:t>etacognition</w:t>
      </w:r>
      <w:r w:rsidR="00230C0D" w:rsidRPr="00B80719">
        <w:t>.</w:t>
      </w:r>
    </w:p>
    <w:p w14:paraId="7A50A662" w14:textId="4592D4D1" w:rsidR="003E159A" w:rsidRPr="00B80719" w:rsidRDefault="00230C0D" w:rsidP="00B0146B">
      <w:pPr>
        <w:pStyle w:val="NoSpacing"/>
        <w:numPr>
          <w:ilvl w:val="0"/>
          <w:numId w:val="16"/>
        </w:numPr>
      </w:pPr>
      <w:r w:rsidRPr="00B80719">
        <w:t xml:space="preserve">Across </w:t>
      </w:r>
      <w:r w:rsidR="00A60E85" w:rsidRPr="00B80719">
        <w:t xml:space="preserve">two of </w:t>
      </w:r>
      <w:r w:rsidRPr="00B80719">
        <w:t xml:space="preserve">three variables, small </w:t>
      </w:r>
      <w:r w:rsidR="00A60E85" w:rsidRPr="00B80719">
        <w:t xml:space="preserve">to negligible </w:t>
      </w:r>
      <w:r w:rsidRPr="00B80719">
        <w:t>positive effect sizes were observed, with the largest impact being a 0.</w:t>
      </w:r>
      <w:r w:rsidR="00A60E85" w:rsidRPr="00B80719">
        <w:t>29</w:t>
      </w:r>
      <w:r w:rsidRPr="00B80719">
        <w:t xml:space="preserve"> effect size for</w:t>
      </w:r>
      <w:r w:rsidR="00A60E85" w:rsidRPr="00B80719">
        <w:t xml:space="preserve"> Metacognition</w:t>
      </w:r>
      <w:r w:rsidRPr="00B80719">
        <w:t>. This could be indicative that participation in the programme resulted in some</w:t>
      </w:r>
      <w:r w:rsidR="003E159A" w:rsidRPr="00B80719">
        <w:t xml:space="preserve"> small improvements in the medium term </w:t>
      </w:r>
      <w:r w:rsidR="000A7CA3" w:rsidRPr="00B80719">
        <w:t>on</w:t>
      </w:r>
      <w:r w:rsidR="003E159A" w:rsidRPr="00B80719">
        <w:t xml:space="preserve"> self-efficacy and </w:t>
      </w:r>
      <w:r w:rsidR="00A60E85" w:rsidRPr="00B80719">
        <w:t xml:space="preserve">metacognition. </w:t>
      </w:r>
      <w:r w:rsidR="00CB5E24" w:rsidRPr="00B80719">
        <w:t xml:space="preserve">Self-efficacy’s change was not statistically significant, </w:t>
      </w:r>
      <w:r w:rsidR="00275D46" w:rsidRPr="00B80719">
        <w:t>however</w:t>
      </w:r>
      <w:r w:rsidR="00CB5E24" w:rsidRPr="00B80719">
        <w:t>, with a p-value of 0.11</w:t>
      </w:r>
      <w:r w:rsidR="00A60E85" w:rsidRPr="00B80719">
        <w:t xml:space="preserve">. </w:t>
      </w:r>
      <w:r w:rsidR="00275D46" w:rsidRPr="00B80719">
        <w:t>In addition</w:t>
      </w:r>
      <w:r w:rsidR="00A60E85" w:rsidRPr="00B80719">
        <w:t>, motivation indicated a negative effect size, though notably not one that was statistically significant</w:t>
      </w:r>
      <w:r w:rsidR="003E159A" w:rsidRPr="00B80719">
        <w:t>.</w:t>
      </w:r>
    </w:p>
    <w:p w14:paraId="17F518EC" w14:textId="77777777" w:rsidR="00A047BE" w:rsidRPr="00B80719" w:rsidRDefault="00A047BE" w:rsidP="70B11DE6">
      <w:pPr>
        <w:pStyle w:val="NoSpacing"/>
      </w:pPr>
    </w:p>
    <w:p w14:paraId="2C02CFFF" w14:textId="77777777" w:rsidR="00B31336" w:rsidRPr="00B80719" w:rsidRDefault="00B31336" w:rsidP="00374D1A">
      <w:pPr>
        <w:pStyle w:val="NoSpacing"/>
      </w:pPr>
    </w:p>
    <w:p w14:paraId="01AD8EEC" w14:textId="04221EC3" w:rsidR="003E159A" w:rsidRPr="00B80719" w:rsidRDefault="00A047BE" w:rsidP="00374D1A">
      <w:pPr>
        <w:pStyle w:val="NoSpacing"/>
        <w:rPr>
          <w:b/>
          <w:bCs/>
        </w:rPr>
      </w:pPr>
      <w:r w:rsidRPr="00B80719">
        <w:rPr>
          <w:b/>
          <w:bCs/>
        </w:rPr>
        <w:t>Conclusions</w:t>
      </w:r>
    </w:p>
    <w:p w14:paraId="00FBCEBA" w14:textId="4B2FF612" w:rsidR="00A047BE" w:rsidRPr="00B80719" w:rsidRDefault="00A047BE" w:rsidP="00B0146B">
      <w:pPr>
        <w:pStyle w:val="NoSpacing"/>
        <w:numPr>
          <w:ilvl w:val="0"/>
          <w:numId w:val="17"/>
        </w:numPr>
      </w:pPr>
      <w:r w:rsidRPr="00B80719">
        <w:t xml:space="preserve">The data indicates that there may be a statistically significant </w:t>
      </w:r>
      <w:r w:rsidR="00C07FC9" w:rsidRPr="00B80719">
        <w:t>impact of</w:t>
      </w:r>
      <w:r w:rsidRPr="00B80719">
        <w:t xml:space="preserve"> participation in the Coachbright programme </w:t>
      </w:r>
      <w:r w:rsidR="00C07FC9" w:rsidRPr="00B80719">
        <w:t>on</w:t>
      </w:r>
      <w:r w:rsidRPr="00B80719">
        <w:t xml:space="preserve"> m</w:t>
      </w:r>
      <w:r w:rsidR="00D36015" w:rsidRPr="00B80719">
        <w:t>etacognition</w:t>
      </w:r>
      <w:r w:rsidRPr="00B80719">
        <w:t xml:space="preserve">. </w:t>
      </w:r>
    </w:p>
    <w:p w14:paraId="33D8385B" w14:textId="23523939" w:rsidR="00A047BE" w:rsidRPr="00B80719" w:rsidRDefault="00A047BE" w:rsidP="00B0146B">
      <w:pPr>
        <w:pStyle w:val="NoSpacing"/>
        <w:numPr>
          <w:ilvl w:val="0"/>
          <w:numId w:val="17"/>
        </w:numPr>
      </w:pPr>
      <w:r w:rsidRPr="00B80719">
        <w:t>It could be argued</w:t>
      </w:r>
      <w:r w:rsidR="00D36015" w:rsidRPr="00B80719">
        <w:t xml:space="preserve"> </w:t>
      </w:r>
      <w:r w:rsidRPr="00B80719">
        <w:t>that</w:t>
      </w:r>
      <w:r w:rsidR="00D36015" w:rsidRPr="00B80719">
        <w:t>,</w:t>
      </w:r>
      <w:r w:rsidRPr="00B80719">
        <w:t xml:space="preserve"> for the 202</w:t>
      </w:r>
      <w:r w:rsidR="00D36015" w:rsidRPr="00B80719">
        <w:t>4</w:t>
      </w:r>
      <w:r w:rsidRPr="00B80719">
        <w:t>/202</w:t>
      </w:r>
      <w:r w:rsidR="00D36015" w:rsidRPr="00B80719">
        <w:t>5</w:t>
      </w:r>
      <w:r w:rsidRPr="00B80719">
        <w:t xml:space="preserve"> academic year</w:t>
      </w:r>
      <w:r w:rsidR="00D36015" w:rsidRPr="00B80719">
        <w:t>,</w:t>
      </w:r>
      <w:r w:rsidRPr="00B80719">
        <w:t xml:space="preserve"> the Coachbright programme has</w:t>
      </w:r>
      <w:r w:rsidR="00F974EE" w:rsidRPr="00B80719">
        <w:t xml:space="preserve"> </w:t>
      </w:r>
      <w:r w:rsidR="00275D46" w:rsidRPr="00B80719">
        <w:t xml:space="preserve">only partially </w:t>
      </w:r>
      <w:r w:rsidRPr="00B80719">
        <w:t xml:space="preserve">succeeded in its </w:t>
      </w:r>
      <w:r w:rsidR="7264CF90" w:rsidRPr="00B80719">
        <w:t>medium-term</w:t>
      </w:r>
      <w:r w:rsidRPr="00B80719">
        <w:t xml:space="preserve"> goals of improving </w:t>
      </w:r>
      <w:r w:rsidR="00275D46" w:rsidRPr="00B80719">
        <w:t>one</w:t>
      </w:r>
      <w:r w:rsidR="00F50F65" w:rsidRPr="00B80719">
        <w:t xml:space="preserve"> of </w:t>
      </w:r>
      <w:r w:rsidRPr="00B80719">
        <w:t>the three tested variables amongst its participants. This may be limited, however, by the small sample size observed and tested</w:t>
      </w:r>
      <w:r w:rsidR="00EF1F88" w:rsidRPr="00B80719">
        <w:t>.</w:t>
      </w:r>
      <w:r w:rsidR="007873BB" w:rsidRPr="00B80719">
        <w:t xml:space="preserve"> In addition, these goals were not achieved with as high effect sizes and mean average improvements as they were in 2023/2024.</w:t>
      </w:r>
    </w:p>
    <w:p w14:paraId="4BC60E46" w14:textId="24900B7C" w:rsidR="007873BB" w:rsidRPr="00B80719" w:rsidRDefault="007873BB" w:rsidP="00B0146B">
      <w:pPr>
        <w:pStyle w:val="NoSpacing"/>
        <w:numPr>
          <w:ilvl w:val="0"/>
          <w:numId w:val="18"/>
        </w:numPr>
      </w:pPr>
      <w:r w:rsidRPr="00B80719">
        <w:t>In addition, a negative effect size observed for one of the variables- motivation- could indicate room for improvement. However, this variable was not statistically significant, and as such no concrete conclusions can reliably be drawn from it.</w:t>
      </w:r>
    </w:p>
    <w:p w14:paraId="11416E62" w14:textId="3289EAFD" w:rsidR="00EF1F88" w:rsidRPr="00B80719" w:rsidRDefault="00EF1F88" w:rsidP="00B0146B">
      <w:pPr>
        <w:pStyle w:val="NoSpacing"/>
        <w:numPr>
          <w:ilvl w:val="0"/>
          <w:numId w:val="18"/>
        </w:numPr>
      </w:pPr>
      <w:r w:rsidRPr="00B80719">
        <w:t xml:space="preserve">In future years, a larger </w:t>
      </w:r>
      <w:r w:rsidR="007873BB" w:rsidRPr="00B80719">
        <w:t xml:space="preserve">paired </w:t>
      </w:r>
      <w:r w:rsidRPr="00B80719">
        <w:t>sample size would be useful to produce more indicative t-</w:t>
      </w:r>
      <w:r w:rsidR="00F974EE" w:rsidRPr="00B80719">
        <w:t>t</w:t>
      </w:r>
      <w:r w:rsidRPr="00B80719">
        <w:t xml:space="preserve">est results, and to ensure that improvements are consistent across </w:t>
      </w:r>
      <w:r w:rsidR="4CFF6564" w:rsidRPr="00B80719">
        <w:t>most of</w:t>
      </w:r>
      <w:r w:rsidRPr="00B80719">
        <w:t xml:space="preserve"> the participant base</w:t>
      </w:r>
      <w:r w:rsidR="00751186" w:rsidRPr="00B80719">
        <w:t xml:space="preserve">. In addition, this would help to </w:t>
      </w:r>
      <w:r w:rsidR="00AF22E4" w:rsidRPr="00B80719">
        <w:t>detect if there is a statistically significant impact on m</w:t>
      </w:r>
      <w:r w:rsidR="007873BB" w:rsidRPr="00B80719">
        <w:t>otivation</w:t>
      </w:r>
      <w:r w:rsidR="00751186" w:rsidRPr="00B80719">
        <w:t>.</w:t>
      </w:r>
    </w:p>
    <w:p w14:paraId="7709F583" w14:textId="6B9FD44C" w:rsidR="007B4287" w:rsidRDefault="00751186" w:rsidP="00B0146B">
      <w:pPr>
        <w:pStyle w:val="NoSpacing"/>
        <w:numPr>
          <w:ilvl w:val="0"/>
          <w:numId w:val="18"/>
        </w:numPr>
      </w:pPr>
      <w:r w:rsidRPr="00B80719">
        <w:t xml:space="preserve">A more comprehensive data sharing agreement with Coachbright would be useful from the university’s perspective to ensure a more comprehensive data set on which to base our conclusions, including an expansion of demographic </w:t>
      </w:r>
      <w:r w:rsidRPr="00B80719">
        <w:lastRenderedPageBreak/>
        <w:t>data which could allow for paired t-</w:t>
      </w:r>
      <w:r w:rsidR="00F974EE" w:rsidRPr="00B80719">
        <w:t>t</w:t>
      </w:r>
      <w:r w:rsidRPr="00B80719">
        <w:t>ests to be conducted for different ethnicities and genders.</w:t>
      </w:r>
      <w:bookmarkStart w:id="14" w:name="_Toc220493486"/>
    </w:p>
    <w:p w14:paraId="2C2B2179" w14:textId="537D9B87" w:rsidR="005C205A" w:rsidRPr="007B4287" w:rsidRDefault="005C205A" w:rsidP="00132506">
      <w:pPr>
        <w:pStyle w:val="Heading2"/>
        <w:jc w:val="left"/>
        <w:rPr>
          <w:color w:val="D2002E"/>
        </w:rPr>
      </w:pPr>
      <w:r w:rsidRPr="007B4287">
        <w:rPr>
          <w:color w:val="D2002E"/>
        </w:rPr>
        <w:t>Results of Analysis</w:t>
      </w:r>
      <w:r w:rsidR="007B4287" w:rsidRPr="007B4287">
        <w:rPr>
          <w:color w:val="D2002E"/>
        </w:rPr>
        <w:t xml:space="preserve"> </w:t>
      </w:r>
      <w:r w:rsidRPr="007B4287">
        <w:rPr>
          <w:color w:val="D2002E"/>
        </w:rPr>
        <w:t xml:space="preserve">- </w:t>
      </w:r>
      <w:r w:rsidR="00C146BD" w:rsidRPr="007B4287">
        <w:rPr>
          <w:color w:val="D2002E"/>
        </w:rPr>
        <w:t>Teacher Feedback (Quantitativ</w:t>
      </w:r>
      <w:r w:rsidR="007C5246" w:rsidRPr="007B4287">
        <w:rPr>
          <w:color w:val="D2002E"/>
        </w:rPr>
        <w:t>e, Qualitative</w:t>
      </w:r>
      <w:r w:rsidR="00967BB6" w:rsidRPr="007B4287">
        <w:rPr>
          <w:color w:val="D2002E"/>
        </w:rPr>
        <w:t>, Graduation Events</w:t>
      </w:r>
      <w:r w:rsidR="00C146BD" w:rsidRPr="007B4287">
        <w:rPr>
          <w:color w:val="D2002E"/>
        </w:rPr>
        <w:t>)</w:t>
      </w:r>
      <w:bookmarkEnd w:id="14"/>
    </w:p>
    <w:p w14:paraId="78167357" w14:textId="2BECB6F2" w:rsidR="007C5246" w:rsidRPr="00B80719" w:rsidRDefault="007C5246" w:rsidP="00B0146B">
      <w:pPr>
        <w:pStyle w:val="NoSpacing"/>
        <w:numPr>
          <w:ilvl w:val="0"/>
          <w:numId w:val="18"/>
        </w:numPr>
      </w:pPr>
      <w:r w:rsidRPr="00B80719">
        <w:t>No quantitative or qualitative data from teachers was made available for analysis by Coachbright this year. This information will hopefully be made available in the upcoming 2025/2026 academic year. There is currently no concrete timetable as to when this information will be available. This section of the report will be updated in future when said information is available.</w:t>
      </w:r>
    </w:p>
    <w:p w14:paraId="7513033C" w14:textId="45556527" w:rsidR="001A1AEB" w:rsidRPr="00B80719" w:rsidRDefault="001A1AEB" w:rsidP="007C5246">
      <w:pPr>
        <w:pStyle w:val="NoSpacing"/>
      </w:pPr>
    </w:p>
    <w:p w14:paraId="4C66F0C9" w14:textId="7B017F23" w:rsidR="005C205A" w:rsidRPr="00B80719" w:rsidRDefault="003E282C" w:rsidP="00030975">
      <w:pPr>
        <w:pStyle w:val="Heading1"/>
        <w:jc w:val="left"/>
        <w:rPr>
          <w:rFonts w:ascii="Arial" w:hAnsi="Arial" w:cs="Arial"/>
          <w:color w:val="D2002E"/>
          <w:sz w:val="44"/>
          <w:szCs w:val="44"/>
        </w:rPr>
      </w:pPr>
      <w:r w:rsidRPr="00B80719">
        <w:rPr>
          <w:rFonts w:ascii="Arial" w:hAnsi="Arial" w:cs="Arial"/>
        </w:rPr>
        <w:br w:type="page"/>
      </w:r>
      <w:bookmarkStart w:id="15" w:name="_Toc220493487"/>
      <w:r w:rsidR="009B6909" w:rsidRPr="00B80719">
        <w:rPr>
          <w:rFonts w:ascii="Arial" w:hAnsi="Arial" w:cs="Arial"/>
          <w:color w:val="D2002E"/>
          <w:sz w:val="44"/>
          <w:szCs w:val="44"/>
        </w:rPr>
        <w:lastRenderedPageBreak/>
        <w:t>Conclusions and Recommendations</w:t>
      </w:r>
      <w:bookmarkEnd w:id="15"/>
    </w:p>
    <w:p w14:paraId="539B02B1" w14:textId="73B06BEB" w:rsidR="009B6909" w:rsidRPr="00B80719" w:rsidRDefault="009B6909" w:rsidP="00B0146B">
      <w:pPr>
        <w:pStyle w:val="NoSpacing"/>
        <w:numPr>
          <w:ilvl w:val="0"/>
          <w:numId w:val="18"/>
        </w:numPr>
      </w:pPr>
      <w:r w:rsidRPr="00B80719">
        <w:t>From a quantitative perspective, the impact of the Coachbright programme for the 202</w:t>
      </w:r>
      <w:r w:rsidR="000F28C1" w:rsidRPr="00B80719">
        <w:t>4</w:t>
      </w:r>
      <w:r w:rsidRPr="00B80719">
        <w:t>/202</w:t>
      </w:r>
      <w:r w:rsidR="000F28C1" w:rsidRPr="00B80719">
        <w:t>5</w:t>
      </w:r>
      <w:r w:rsidRPr="00B80719">
        <w:t xml:space="preserve"> academic year was</w:t>
      </w:r>
      <w:r w:rsidR="00495141" w:rsidRPr="00B80719">
        <w:t>, in part,</w:t>
      </w:r>
      <w:r w:rsidRPr="00B80719">
        <w:t xml:space="preserve"> positive</w:t>
      </w:r>
      <w:r w:rsidR="00495141" w:rsidRPr="00B80719">
        <w:t>, though limited in significance</w:t>
      </w:r>
      <w:r w:rsidRPr="00B80719">
        <w:t>. Participating pupils reported consistent small improvements in their metacognition</w:t>
      </w:r>
      <w:r w:rsidR="00A93DE3" w:rsidRPr="00B80719">
        <w:t xml:space="preserve"> </w:t>
      </w:r>
      <w:r w:rsidR="004F6E92" w:rsidRPr="00B80719">
        <w:t>and self-efficacy</w:t>
      </w:r>
      <w:r w:rsidRPr="00B80719">
        <w:t xml:space="preserve"> </w:t>
      </w:r>
      <w:r w:rsidR="5F7180AC" w:rsidRPr="00B80719">
        <w:t>because of</w:t>
      </w:r>
      <w:r w:rsidRPr="00B80719">
        <w:t xml:space="preserve"> their participation in the programme</w:t>
      </w:r>
      <w:r w:rsidR="004F6E92" w:rsidRPr="00B80719">
        <w:t>. However, it can be argued that the programme was not as successful as in the 2023/2024 academic year, due to a negative effect size for motivation and overall smaller average improvements across two of three variables compared to 2023/2024</w:t>
      </w:r>
      <w:r w:rsidRPr="00B80719">
        <w:t xml:space="preserve">. Data </w:t>
      </w:r>
      <w:r w:rsidR="00ED0165" w:rsidRPr="00B80719">
        <w:t>on</w:t>
      </w:r>
      <w:r w:rsidRPr="00B80719">
        <w:t xml:space="preserve"> improved GCSE attainment and a higher rate of participation in higher education amongst participating pupils</w:t>
      </w:r>
      <w:r w:rsidR="00A93DE3" w:rsidRPr="00B80719">
        <w:t xml:space="preserve"> </w:t>
      </w:r>
      <w:r w:rsidRPr="00B80719">
        <w:t xml:space="preserve">will be measured as a </w:t>
      </w:r>
      <w:r w:rsidR="63F79941" w:rsidRPr="00B80719">
        <w:t>long-term</w:t>
      </w:r>
      <w:r w:rsidRPr="00B80719">
        <w:t xml:space="preserve"> goal in future iterations of the programme</w:t>
      </w:r>
      <w:r w:rsidR="00C270E1" w:rsidRPr="00B80719">
        <w:t>.</w:t>
      </w:r>
    </w:p>
    <w:p w14:paraId="3FC9B811" w14:textId="77777777" w:rsidR="00C270E1" w:rsidRPr="00B80719" w:rsidRDefault="00C270E1" w:rsidP="00374D1A">
      <w:pPr>
        <w:pStyle w:val="NoSpacing"/>
      </w:pPr>
    </w:p>
    <w:p w14:paraId="76FB04B2" w14:textId="3DE3D8F2" w:rsidR="00C270E1" w:rsidRPr="00B80719" w:rsidRDefault="00C270E1" w:rsidP="00B0146B">
      <w:pPr>
        <w:pStyle w:val="NoSpacing"/>
        <w:numPr>
          <w:ilvl w:val="0"/>
          <w:numId w:val="18"/>
        </w:numPr>
      </w:pPr>
      <w:r w:rsidRPr="00B80719">
        <w:t xml:space="preserve">In terms of recommendations for future academic years, </w:t>
      </w:r>
      <w:r w:rsidR="00E74A63" w:rsidRPr="00B80719">
        <w:t>the programme should be amended in</w:t>
      </w:r>
      <w:r w:rsidRPr="00B80719">
        <w:t xml:space="preserve"> the following</w:t>
      </w:r>
      <w:r w:rsidR="00E74A63" w:rsidRPr="00B80719">
        <w:t xml:space="preserve"> ways</w:t>
      </w:r>
      <w:r w:rsidRPr="00B80719">
        <w:t>:</w:t>
      </w:r>
    </w:p>
    <w:p w14:paraId="5C6081C0" w14:textId="07E3AF11" w:rsidR="003A720C" w:rsidRPr="00B80719" w:rsidRDefault="00C270E1" w:rsidP="00B0146B">
      <w:pPr>
        <w:pStyle w:val="NoSpacing"/>
        <w:numPr>
          <w:ilvl w:val="1"/>
          <w:numId w:val="18"/>
        </w:numPr>
      </w:pPr>
      <w:r w:rsidRPr="00B80719">
        <w:t>Reach a more robust data sharing agreement with Coachbright to ensure that</w:t>
      </w:r>
      <w:r w:rsidR="003A720C" w:rsidRPr="00B80719">
        <w:t xml:space="preserve"> pupil demographics are easier to analyse and to allow for easier tracking of pupils that may progress to HE at the University of Reading.</w:t>
      </w:r>
    </w:p>
    <w:p w14:paraId="58247BE8" w14:textId="24D4243B" w:rsidR="003A720C" w:rsidRPr="00B80719" w:rsidRDefault="003A720C" w:rsidP="00B0146B">
      <w:pPr>
        <w:pStyle w:val="NoSpacing"/>
        <w:numPr>
          <w:ilvl w:val="1"/>
          <w:numId w:val="18"/>
        </w:numPr>
      </w:pPr>
      <w:r w:rsidRPr="00B80719">
        <w:t>Ensure the sample size used in the paired t-</w:t>
      </w:r>
      <w:r w:rsidR="00876BCF" w:rsidRPr="00B80719">
        <w:t>t</w:t>
      </w:r>
      <w:r w:rsidRPr="00B80719">
        <w:t xml:space="preserve">est </w:t>
      </w:r>
      <w:r w:rsidR="00F310AB" w:rsidRPr="00B80719">
        <w:t xml:space="preserve">(or Wilcoxon Signed Ranks Test) </w:t>
      </w:r>
      <w:r w:rsidRPr="00B80719">
        <w:t xml:space="preserve">is larger to ensure a more representative measure of </w:t>
      </w:r>
      <w:r w:rsidR="443222B1" w:rsidRPr="00B80719">
        <w:t>medium-term</w:t>
      </w:r>
      <w:r w:rsidRPr="00B80719">
        <w:t xml:space="preserve"> impact on pupils. Also conduct paired t-</w:t>
      </w:r>
      <w:r w:rsidR="00876BCF" w:rsidRPr="00B80719">
        <w:t>t</w:t>
      </w:r>
      <w:r w:rsidRPr="00B80719">
        <w:t>ests for target student demographics, such as black students, where possible.</w:t>
      </w:r>
    </w:p>
    <w:p w14:paraId="441AE1C3" w14:textId="2736C7FC" w:rsidR="00547758" w:rsidRPr="00B80719" w:rsidRDefault="003A720C" w:rsidP="00B0146B">
      <w:pPr>
        <w:pStyle w:val="NoSpacing"/>
        <w:numPr>
          <w:ilvl w:val="1"/>
          <w:numId w:val="18"/>
        </w:numPr>
      </w:pPr>
      <w:r w:rsidRPr="00B80719">
        <w:t>Address practical and logistical challenges raised by teachers regarding Coachbright graduation events on campus.</w:t>
      </w:r>
    </w:p>
    <w:p w14:paraId="4591CF93" w14:textId="730766EE" w:rsidR="00547758" w:rsidRPr="00B80719" w:rsidRDefault="00547758" w:rsidP="00B0146B">
      <w:pPr>
        <w:pStyle w:val="NoSpacing"/>
        <w:numPr>
          <w:ilvl w:val="1"/>
          <w:numId w:val="18"/>
        </w:numPr>
      </w:pPr>
      <w:r w:rsidRPr="00B80719">
        <w:t xml:space="preserve">Use aggregate </w:t>
      </w:r>
      <w:r w:rsidR="57B53FF0" w:rsidRPr="00B80719">
        <w:t>medium-term</w:t>
      </w:r>
      <w:r w:rsidRPr="00B80719">
        <w:t xml:space="preserve"> data in conjunction with information from Coachbright and participating schools to ensure a measure of impact on GCSE attainment and/or participation in HE can be observed in the long term.</w:t>
      </w:r>
    </w:p>
    <w:p w14:paraId="197AAE34" w14:textId="63161D86" w:rsidR="00CB62CA" w:rsidRPr="00B80719" w:rsidRDefault="00CB62CA" w:rsidP="00374D1A">
      <w:pPr>
        <w:pStyle w:val="NoSpacing"/>
      </w:pPr>
    </w:p>
    <w:p w14:paraId="2AE4ED20" w14:textId="4079E202" w:rsidR="00CB62CA" w:rsidRPr="00B80719" w:rsidRDefault="00CB62CA" w:rsidP="00374D1A">
      <w:pPr>
        <w:pStyle w:val="NoSpacing"/>
      </w:pPr>
    </w:p>
    <w:p w14:paraId="7CDB284B" w14:textId="77777777" w:rsidR="000310E7" w:rsidRPr="00B80719" w:rsidRDefault="000310E7">
      <w:pPr>
        <w:rPr>
          <w:rFonts w:ascii="Arial" w:hAnsi="Arial" w:cs="Arial"/>
          <w:b/>
          <w:bCs/>
          <w:sz w:val="20"/>
          <w:szCs w:val="22"/>
        </w:rPr>
      </w:pPr>
      <w:r w:rsidRPr="00B80719">
        <w:rPr>
          <w:rFonts w:ascii="Arial" w:hAnsi="Arial" w:cs="Arial"/>
          <w:b/>
          <w:bCs/>
        </w:rPr>
        <w:br w:type="page"/>
      </w:r>
    </w:p>
    <w:p w14:paraId="017F0CF5" w14:textId="6AA09968" w:rsidR="00D736EC" w:rsidRPr="00B80719" w:rsidRDefault="1B19CEC4" w:rsidP="00030975">
      <w:pPr>
        <w:pStyle w:val="Heading1"/>
        <w:jc w:val="left"/>
        <w:rPr>
          <w:rFonts w:ascii="Arial" w:hAnsi="Arial" w:cs="Arial"/>
        </w:rPr>
      </w:pPr>
      <w:bookmarkStart w:id="16" w:name="_Toc220493488"/>
      <w:r w:rsidRPr="00B80719">
        <w:rPr>
          <w:rFonts w:ascii="Arial" w:hAnsi="Arial" w:cs="Arial"/>
        </w:rPr>
        <w:lastRenderedPageBreak/>
        <w:t>References</w:t>
      </w:r>
      <w:bookmarkEnd w:id="16"/>
    </w:p>
    <w:p w14:paraId="6DADC355" w14:textId="3A0CD897" w:rsidR="72D8BCB5" w:rsidRPr="00B80719" w:rsidRDefault="72D8BCB5" w:rsidP="72D8BCB5">
      <w:pPr>
        <w:pStyle w:val="NoSpacing"/>
      </w:pPr>
    </w:p>
    <w:p w14:paraId="476BE64C" w14:textId="5F7AB503" w:rsidR="0F6FBB7D" w:rsidRPr="00AE0EBE" w:rsidRDefault="0F6FBB7D" w:rsidP="00B0146B">
      <w:pPr>
        <w:pStyle w:val="ListParagraph"/>
        <w:numPr>
          <w:ilvl w:val="0"/>
          <w:numId w:val="18"/>
        </w:numPr>
        <w:rPr>
          <w:rFonts w:ascii="Arial" w:hAnsi="Arial" w:cs="Arial"/>
        </w:rPr>
      </w:pPr>
      <w:r w:rsidRPr="00AE0EBE">
        <w:rPr>
          <w:rFonts w:ascii="Arial" w:hAnsi="Arial" w:cs="Arial"/>
        </w:rPr>
        <w:t xml:space="preserve">Education Endowment Foundation (2022), </w:t>
      </w:r>
      <w:r w:rsidRPr="00AE0EBE">
        <w:rPr>
          <w:rFonts w:ascii="Arial" w:hAnsi="Arial" w:cs="Arial"/>
          <w:i/>
          <w:iCs/>
        </w:rPr>
        <w:t xml:space="preserve">Making a Difference with Effective Tutoring, </w:t>
      </w:r>
      <w:r w:rsidRPr="00AE0EBE">
        <w:rPr>
          <w:rFonts w:ascii="Arial" w:hAnsi="Arial" w:cs="Arial"/>
        </w:rPr>
        <w:t xml:space="preserve">Available at </w:t>
      </w:r>
      <w:hyperlink r:id="rId11">
        <w:r w:rsidRPr="00AE0EBE">
          <w:rPr>
            <w:rStyle w:val="Hyperlink"/>
            <w:rFonts w:ascii="Arial" w:hAnsi="Arial" w:cs="Arial"/>
          </w:rPr>
          <w:t>https://educationendowmentfoundation.org.uk/support-for-schools/making-a-difference-with-effective-tutoring</w:t>
        </w:r>
      </w:hyperlink>
      <w:r w:rsidRPr="00AE0EBE">
        <w:rPr>
          <w:rFonts w:ascii="Arial" w:hAnsi="Arial" w:cs="Arial"/>
        </w:rPr>
        <w:t xml:space="preserve"> (Accessed 11</w:t>
      </w:r>
      <w:r w:rsidRPr="00AE0EBE">
        <w:rPr>
          <w:rFonts w:ascii="Arial" w:hAnsi="Arial" w:cs="Arial"/>
          <w:vertAlign w:val="superscript"/>
        </w:rPr>
        <w:t>th</w:t>
      </w:r>
      <w:r w:rsidRPr="00AE0EBE">
        <w:rPr>
          <w:rFonts w:ascii="Arial" w:hAnsi="Arial" w:cs="Arial"/>
        </w:rPr>
        <w:t xml:space="preserve"> October 2024)</w:t>
      </w:r>
    </w:p>
    <w:p w14:paraId="2656931B" w14:textId="5B9426A0" w:rsidR="06645CCA" w:rsidRPr="00AE0EBE" w:rsidRDefault="06645CCA" w:rsidP="00B0146B">
      <w:pPr>
        <w:pStyle w:val="ListParagraph"/>
        <w:numPr>
          <w:ilvl w:val="0"/>
          <w:numId w:val="18"/>
        </w:numPr>
        <w:rPr>
          <w:rFonts w:ascii="Arial" w:hAnsi="Arial" w:cs="Arial"/>
        </w:rPr>
      </w:pPr>
      <w:r w:rsidRPr="00AE0EBE">
        <w:rPr>
          <w:rFonts w:ascii="Arial" w:hAnsi="Arial" w:cs="Arial"/>
        </w:rPr>
        <w:t xml:space="preserve">Gartland, C (2015), </w:t>
      </w:r>
      <w:r w:rsidRPr="00AE0EBE">
        <w:rPr>
          <w:rFonts w:ascii="Arial" w:hAnsi="Arial" w:cs="Arial"/>
          <w:i/>
          <w:iCs/>
        </w:rPr>
        <w:t xml:space="preserve">Student Ambassadors: ‘Role-Models’, Learning Practices and Identities, </w:t>
      </w:r>
      <w:r w:rsidRPr="00AE0EBE">
        <w:rPr>
          <w:rFonts w:ascii="Arial" w:hAnsi="Arial" w:cs="Arial"/>
        </w:rPr>
        <w:t>British Journal of Sociology of Educatio</w:t>
      </w:r>
      <w:r w:rsidR="5CA74A0C" w:rsidRPr="00AE0EBE">
        <w:rPr>
          <w:rFonts w:ascii="Arial" w:hAnsi="Arial" w:cs="Arial"/>
        </w:rPr>
        <w:t>n, Vol. 36, Issue 8, pp. 1192-1211</w:t>
      </w:r>
    </w:p>
    <w:p w14:paraId="687431D1" w14:textId="77777777" w:rsidR="00D736EC" w:rsidRPr="00AE0EBE" w:rsidRDefault="00D736EC" w:rsidP="00B0146B">
      <w:pPr>
        <w:pStyle w:val="ListParagraph"/>
        <w:numPr>
          <w:ilvl w:val="0"/>
          <w:numId w:val="18"/>
        </w:numPr>
        <w:rPr>
          <w:rFonts w:ascii="Arial" w:hAnsi="Arial" w:cs="Arial"/>
        </w:rPr>
      </w:pPr>
      <w:r w:rsidRPr="00AE0EBE">
        <w:rPr>
          <w:rFonts w:ascii="Arial" w:hAnsi="Arial" w:cs="Arial"/>
        </w:rPr>
        <w:t xml:space="preserve">TASO (2024), </w:t>
      </w:r>
      <w:r w:rsidRPr="00AE0EBE">
        <w:rPr>
          <w:rFonts w:ascii="Arial" w:hAnsi="Arial" w:cs="Arial"/>
          <w:i/>
          <w:iCs/>
        </w:rPr>
        <w:t xml:space="preserve">Tutoring (Pre-Entry), </w:t>
      </w:r>
      <w:r w:rsidRPr="00AE0EBE">
        <w:rPr>
          <w:rFonts w:ascii="Arial" w:hAnsi="Arial" w:cs="Arial"/>
        </w:rPr>
        <w:t xml:space="preserve">Available at: </w:t>
      </w:r>
      <w:hyperlink r:id="rId12">
        <w:r w:rsidRPr="00AE0EBE">
          <w:rPr>
            <w:rStyle w:val="Hyperlink"/>
            <w:rFonts w:ascii="Arial" w:hAnsi="Arial" w:cs="Arial"/>
          </w:rPr>
          <w:t>https://taso.org.uk/intervention/tutoring-pre-entry/</w:t>
        </w:r>
      </w:hyperlink>
      <w:r w:rsidRPr="00AE0EBE">
        <w:rPr>
          <w:rFonts w:ascii="Arial" w:hAnsi="Arial" w:cs="Arial"/>
        </w:rPr>
        <w:t xml:space="preserve"> (Accessed 11</w:t>
      </w:r>
      <w:r w:rsidRPr="00AE0EBE">
        <w:rPr>
          <w:rFonts w:ascii="Arial" w:hAnsi="Arial" w:cs="Arial"/>
          <w:vertAlign w:val="superscript"/>
        </w:rPr>
        <w:t>th</w:t>
      </w:r>
      <w:r w:rsidRPr="00AE0EBE">
        <w:rPr>
          <w:rFonts w:ascii="Arial" w:hAnsi="Arial" w:cs="Arial"/>
        </w:rPr>
        <w:t xml:space="preserve"> October 2024)</w:t>
      </w:r>
    </w:p>
    <w:p w14:paraId="6FFD6083" w14:textId="77777777" w:rsidR="00A53319" w:rsidRDefault="00A53319" w:rsidP="7510C0C7">
      <w:pPr>
        <w:rPr>
          <w:rFonts w:ascii="Arial" w:hAnsi="Arial" w:cs="Arial"/>
        </w:rPr>
        <w:sectPr w:rsidR="00A53319">
          <w:headerReference w:type="default" r:id="rId13"/>
          <w:footerReference w:type="default" r:id="rId14"/>
          <w:pgSz w:w="11906" w:h="16838"/>
          <w:pgMar w:top="1440" w:right="1440" w:bottom="1440" w:left="1440" w:header="708" w:footer="708" w:gutter="0"/>
          <w:cols w:space="708"/>
          <w:docGrid w:linePitch="360"/>
        </w:sectPr>
      </w:pPr>
    </w:p>
    <w:p w14:paraId="38202C08" w14:textId="26AFCFBE" w:rsidR="00D736EC" w:rsidRPr="00B80719" w:rsidRDefault="00D736EC" w:rsidP="7510C0C7">
      <w:pPr>
        <w:rPr>
          <w:rFonts w:ascii="Arial" w:hAnsi="Arial" w:cs="Arial"/>
        </w:rPr>
      </w:pPr>
    </w:p>
    <w:p w14:paraId="5129F825" w14:textId="6870D45B" w:rsidR="002D6FF9" w:rsidRPr="002D6FF9" w:rsidRDefault="6E76B9C5" w:rsidP="00030975">
      <w:pPr>
        <w:pStyle w:val="Heading1"/>
        <w:jc w:val="left"/>
        <w:rPr>
          <w:rFonts w:ascii="Arial" w:eastAsiaTheme="minorEastAsia" w:hAnsi="Arial" w:cs="Arial"/>
        </w:rPr>
      </w:pPr>
      <w:bookmarkStart w:id="17" w:name="_Toc220493489"/>
      <w:r w:rsidRPr="00B80719">
        <w:rPr>
          <w:rFonts w:ascii="Arial" w:eastAsiaTheme="minorEastAsia" w:hAnsi="Arial" w:cs="Arial"/>
        </w:rPr>
        <w:t xml:space="preserve">Appendix </w:t>
      </w:r>
      <w:r w:rsidR="00A96053" w:rsidRPr="00B80719">
        <w:rPr>
          <w:rFonts w:ascii="Arial" w:eastAsiaTheme="minorEastAsia" w:hAnsi="Arial" w:cs="Arial"/>
        </w:rPr>
        <w:t xml:space="preserve">- </w:t>
      </w:r>
      <w:r w:rsidRPr="00B80719">
        <w:rPr>
          <w:rFonts w:ascii="Arial" w:eastAsiaTheme="minorEastAsia" w:hAnsi="Arial" w:cs="Arial"/>
        </w:rPr>
        <w:t>Theory of Change</w:t>
      </w:r>
      <w:bookmarkEnd w:id="17"/>
    </w:p>
    <w:tbl>
      <w:tblPr>
        <w:tblW w:w="0" w:type="auto"/>
        <w:tblLook w:val="04A0" w:firstRow="1" w:lastRow="0" w:firstColumn="1" w:lastColumn="0" w:noHBand="0" w:noVBand="1"/>
      </w:tblPr>
      <w:tblGrid>
        <w:gridCol w:w="4320"/>
        <w:gridCol w:w="4320"/>
      </w:tblGrid>
      <w:tr w:rsidR="002D6FF9" w:rsidRPr="002D6FF9" w14:paraId="4292A876" w14:textId="77777777">
        <w:tc>
          <w:tcPr>
            <w:tcW w:w="4320" w:type="dxa"/>
            <w:hideMark/>
          </w:tcPr>
          <w:p w14:paraId="52218DB0" w14:textId="77777777" w:rsidR="002D6FF9" w:rsidRPr="00AE0EBE" w:rsidRDefault="002D6FF9" w:rsidP="00B0146B">
            <w:pPr>
              <w:pStyle w:val="ListParagraph"/>
              <w:numPr>
                <w:ilvl w:val="0"/>
                <w:numId w:val="18"/>
              </w:numPr>
              <w:rPr>
                <w:lang w:val="en-US"/>
              </w:rPr>
            </w:pPr>
            <w:r w:rsidRPr="00AE0EBE">
              <w:rPr>
                <w:lang w:val="en-US"/>
              </w:rPr>
              <w:t>Section</w:t>
            </w:r>
          </w:p>
        </w:tc>
        <w:tc>
          <w:tcPr>
            <w:tcW w:w="4320" w:type="dxa"/>
            <w:hideMark/>
          </w:tcPr>
          <w:p w14:paraId="6C458881" w14:textId="77777777" w:rsidR="002D6FF9" w:rsidRPr="00AE0EBE" w:rsidRDefault="002D6FF9" w:rsidP="00B0146B">
            <w:pPr>
              <w:pStyle w:val="ListParagraph"/>
              <w:numPr>
                <w:ilvl w:val="0"/>
                <w:numId w:val="18"/>
              </w:numPr>
              <w:rPr>
                <w:lang w:val="en-US"/>
              </w:rPr>
            </w:pPr>
            <w:r w:rsidRPr="00AE0EBE">
              <w:rPr>
                <w:lang w:val="en-US"/>
              </w:rPr>
              <w:t>Content</w:t>
            </w:r>
          </w:p>
        </w:tc>
      </w:tr>
      <w:tr w:rsidR="002D6FF9" w:rsidRPr="002D6FF9" w14:paraId="5CC90D2C" w14:textId="77777777">
        <w:tc>
          <w:tcPr>
            <w:tcW w:w="4320" w:type="dxa"/>
            <w:hideMark/>
          </w:tcPr>
          <w:p w14:paraId="0F558A6A" w14:textId="77777777" w:rsidR="002D6FF9" w:rsidRPr="00AE0EBE" w:rsidRDefault="002D6FF9" w:rsidP="00B0146B">
            <w:pPr>
              <w:pStyle w:val="ListParagraph"/>
              <w:numPr>
                <w:ilvl w:val="0"/>
                <w:numId w:val="18"/>
              </w:numPr>
              <w:rPr>
                <w:lang w:val="en-US"/>
              </w:rPr>
            </w:pPr>
            <w:r w:rsidRPr="00AE0EBE">
              <w:rPr>
                <w:lang w:val="en-US"/>
              </w:rPr>
              <w:t>Situation</w:t>
            </w:r>
          </w:p>
        </w:tc>
        <w:tc>
          <w:tcPr>
            <w:tcW w:w="4320" w:type="dxa"/>
            <w:hideMark/>
          </w:tcPr>
          <w:p w14:paraId="5FABCC4A" w14:textId="77777777" w:rsidR="002D6FF9" w:rsidRPr="00AE0EBE" w:rsidRDefault="002D6FF9" w:rsidP="00B0146B">
            <w:pPr>
              <w:pStyle w:val="ListParagraph"/>
              <w:numPr>
                <w:ilvl w:val="0"/>
                <w:numId w:val="18"/>
              </w:numPr>
              <w:rPr>
                <w:lang w:val="en-US"/>
              </w:rPr>
            </w:pPr>
            <w:r w:rsidRPr="00AE0EBE">
              <w:rPr>
                <w:lang w:val="en-US"/>
              </w:rPr>
              <w:t>A significant barrier to access and participation in HE for disadvantaged students is the attainment gap between them and their non-disadvantaged peers. This encompasses educational development, academic results at GCSE and A Level, and academic and sociocultural capital acquisition. Notably, KS4 and KS5 results represent significant indicators of a student’s progression to higher education. As such, the attainment gap is directly resulting in fewer disadvantaged students attending HE.</w:t>
            </w:r>
          </w:p>
        </w:tc>
      </w:tr>
      <w:tr w:rsidR="002D6FF9" w:rsidRPr="002D6FF9" w14:paraId="744FE46D" w14:textId="77777777">
        <w:tc>
          <w:tcPr>
            <w:tcW w:w="4320" w:type="dxa"/>
            <w:hideMark/>
          </w:tcPr>
          <w:p w14:paraId="280B261B" w14:textId="77777777" w:rsidR="002D6FF9" w:rsidRPr="00AE0EBE" w:rsidRDefault="002D6FF9" w:rsidP="00B0146B">
            <w:pPr>
              <w:pStyle w:val="ListParagraph"/>
              <w:numPr>
                <w:ilvl w:val="0"/>
                <w:numId w:val="18"/>
              </w:numPr>
              <w:rPr>
                <w:lang w:val="en-US"/>
              </w:rPr>
            </w:pPr>
            <w:r w:rsidRPr="00AE0EBE">
              <w:rPr>
                <w:lang w:val="en-US"/>
              </w:rPr>
              <w:t>Aims</w:t>
            </w:r>
          </w:p>
        </w:tc>
        <w:tc>
          <w:tcPr>
            <w:tcW w:w="4320" w:type="dxa"/>
            <w:hideMark/>
          </w:tcPr>
          <w:p w14:paraId="4EC19A79" w14:textId="77777777" w:rsidR="002D6FF9" w:rsidRPr="00AE0EBE" w:rsidRDefault="002D6FF9" w:rsidP="00B0146B">
            <w:pPr>
              <w:pStyle w:val="ListParagraph"/>
              <w:numPr>
                <w:ilvl w:val="0"/>
                <w:numId w:val="18"/>
              </w:numPr>
              <w:rPr>
                <w:lang w:val="en-US"/>
              </w:rPr>
            </w:pPr>
            <w:r w:rsidRPr="00AE0EBE">
              <w:rPr>
                <w:lang w:val="en-US"/>
              </w:rPr>
              <w:t>To have a positive impact on the attainment of disadvantaged students, in terms of academic achievement, personal development and sociocultural and academic capital, with a view to improving their rate of participation in higher education.</w:t>
            </w:r>
          </w:p>
        </w:tc>
      </w:tr>
      <w:tr w:rsidR="002D6FF9" w:rsidRPr="002D6FF9" w14:paraId="0067F71D" w14:textId="77777777">
        <w:tc>
          <w:tcPr>
            <w:tcW w:w="4320" w:type="dxa"/>
            <w:hideMark/>
          </w:tcPr>
          <w:p w14:paraId="37FB2CF3" w14:textId="77777777" w:rsidR="002D6FF9" w:rsidRPr="00AE0EBE" w:rsidRDefault="002D6FF9" w:rsidP="00B0146B">
            <w:pPr>
              <w:pStyle w:val="ListParagraph"/>
              <w:numPr>
                <w:ilvl w:val="0"/>
                <w:numId w:val="18"/>
              </w:numPr>
              <w:rPr>
                <w:lang w:val="en-US"/>
              </w:rPr>
            </w:pPr>
            <w:r w:rsidRPr="00AE0EBE">
              <w:rPr>
                <w:lang w:val="en-US"/>
              </w:rPr>
              <w:t>Inputs</w:t>
            </w:r>
          </w:p>
        </w:tc>
        <w:tc>
          <w:tcPr>
            <w:tcW w:w="4320" w:type="dxa"/>
            <w:hideMark/>
          </w:tcPr>
          <w:p w14:paraId="39F829CA" w14:textId="77777777" w:rsidR="002D6FF9" w:rsidRPr="00AE0EBE" w:rsidRDefault="002D6FF9" w:rsidP="00B0146B">
            <w:pPr>
              <w:pStyle w:val="ListParagraph"/>
              <w:numPr>
                <w:ilvl w:val="0"/>
                <w:numId w:val="18"/>
              </w:numPr>
              <w:rPr>
                <w:lang w:val="en-US"/>
              </w:rPr>
            </w:pPr>
            <w:r w:rsidRPr="00AE0EBE">
              <w:rPr>
                <w:lang w:val="en-US"/>
              </w:rPr>
              <w:t>- Staff Costs (Time, Travel Expenditure)</w:t>
            </w:r>
            <w:r w:rsidRPr="00AE0EBE">
              <w:rPr>
                <w:lang w:val="en-US"/>
              </w:rPr>
              <w:br/>
              <w:t>- Resourcing (Physical Resources, Presentations, Digital Resources)</w:t>
            </w:r>
            <w:r w:rsidRPr="00AE0EBE">
              <w:rPr>
                <w:lang w:val="en-US"/>
              </w:rPr>
              <w:br/>
              <w:t xml:space="preserve">- Logistics (Room Bookings on Campus, School/College </w:t>
            </w:r>
            <w:r w:rsidRPr="00AE0EBE">
              <w:rPr>
                <w:lang w:val="en-US"/>
              </w:rPr>
              <w:lastRenderedPageBreak/>
              <w:t>Availability and Scheduling)</w:t>
            </w:r>
            <w:r w:rsidRPr="00AE0EBE">
              <w:rPr>
                <w:lang w:val="en-US"/>
              </w:rPr>
              <w:br/>
              <w:t>- Relationships (Strong, Consistent Connections with Schools, Colleges and Teaching Staff)</w:t>
            </w:r>
            <w:r w:rsidRPr="00AE0EBE">
              <w:rPr>
                <w:lang w:val="en-US"/>
              </w:rPr>
              <w:br/>
              <w:t>- Student Ambassadors</w:t>
            </w:r>
            <w:r w:rsidRPr="00AE0EBE">
              <w:rPr>
                <w:lang w:val="en-US"/>
              </w:rPr>
              <w:br/>
              <w:t>- Collaboration with External Providers</w:t>
            </w:r>
            <w:r w:rsidRPr="00AE0EBE">
              <w:rPr>
                <w:lang w:val="en-US"/>
              </w:rPr>
              <w:br/>
              <w:t>- Coachbright Financing and Expenditure</w:t>
            </w:r>
          </w:p>
        </w:tc>
      </w:tr>
      <w:tr w:rsidR="002D6FF9" w:rsidRPr="002D6FF9" w14:paraId="0152139F" w14:textId="77777777">
        <w:tc>
          <w:tcPr>
            <w:tcW w:w="4320" w:type="dxa"/>
            <w:hideMark/>
          </w:tcPr>
          <w:p w14:paraId="2F7FC703" w14:textId="77777777" w:rsidR="002D6FF9" w:rsidRPr="00AE0EBE" w:rsidRDefault="002D6FF9" w:rsidP="00B0146B">
            <w:pPr>
              <w:pStyle w:val="ListParagraph"/>
              <w:numPr>
                <w:ilvl w:val="0"/>
                <w:numId w:val="18"/>
              </w:numPr>
              <w:rPr>
                <w:lang w:val="en-US"/>
              </w:rPr>
            </w:pPr>
            <w:r w:rsidRPr="00AE0EBE">
              <w:rPr>
                <w:lang w:val="en-US"/>
              </w:rPr>
              <w:lastRenderedPageBreak/>
              <w:t>Activities / Process</w:t>
            </w:r>
          </w:p>
        </w:tc>
        <w:tc>
          <w:tcPr>
            <w:tcW w:w="4320" w:type="dxa"/>
            <w:hideMark/>
          </w:tcPr>
          <w:p w14:paraId="54028FC3" w14:textId="77777777" w:rsidR="002D6FF9" w:rsidRPr="00AE0EBE" w:rsidRDefault="002D6FF9" w:rsidP="00B0146B">
            <w:pPr>
              <w:pStyle w:val="ListParagraph"/>
              <w:numPr>
                <w:ilvl w:val="0"/>
                <w:numId w:val="18"/>
              </w:numPr>
              <w:rPr>
                <w:lang w:val="en-US"/>
              </w:rPr>
            </w:pPr>
            <w:r w:rsidRPr="00AE0EBE">
              <w:rPr>
                <w:lang w:val="en-US"/>
              </w:rPr>
              <w:t>KS3</w:t>
            </w:r>
            <w:r w:rsidRPr="00AE0EBE">
              <w:rPr>
                <w:lang w:val="en-US"/>
              </w:rPr>
              <w:br/>
              <w:t>- Students will benefit from tutoring from trained peers.</w:t>
            </w:r>
            <w:r w:rsidRPr="00AE0EBE">
              <w:rPr>
                <w:lang w:val="en-US"/>
              </w:rPr>
              <w:br/>
              <w:t>- Students will develop skills, academic resilience and self-efficacy through intermediate-term tutoring/mentorship sessions</w:t>
            </w:r>
            <w:r w:rsidRPr="00AE0EBE">
              <w:rPr>
                <w:lang w:val="en-US"/>
              </w:rPr>
              <w:br/>
            </w:r>
            <w:r w:rsidRPr="00AE0EBE">
              <w:rPr>
                <w:lang w:val="en-US"/>
              </w:rPr>
              <w:br/>
              <w:t>KS4 + KS5</w:t>
            </w:r>
            <w:r w:rsidRPr="00AE0EBE">
              <w:rPr>
                <w:lang w:val="en-US"/>
              </w:rPr>
              <w:br/>
              <w:t>- Students will EITHER benefit from tutoring from trained peers OR be trained as tutors for their peers by Coachbright staff.</w:t>
            </w:r>
            <w:r w:rsidRPr="00AE0EBE">
              <w:rPr>
                <w:lang w:val="en-US"/>
              </w:rPr>
              <w:br/>
              <w:t>- Students will develop skills, academic resilience and self-efficacy through intermediate-term tutoring/mentorship sessions</w:t>
            </w:r>
            <w:r w:rsidRPr="00AE0EBE">
              <w:rPr>
                <w:lang w:val="en-US"/>
              </w:rPr>
              <w:br/>
            </w:r>
            <w:r w:rsidRPr="00AE0EBE">
              <w:rPr>
                <w:lang w:val="en-US"/>
              </w:rPr>
              <w:br/>
              <w:t>All Students</w:t>
            </w:r>
            <w:r w:rsidRPr="00AE0EBE">
              <w:rPr>
                <w:lang w:val="en-US"/>
              </w:rPr>
              <w:br/>
              <w:t>- Students will benefit from training and mentorship sessions</w:t>
            </w:r>
            <w:r w:rsidRPr="00AE0EBE">
              <w:rPr>
                <w:lang w:val="en-US"/>
              </w:rPr>
              <w:br/>
              <w:t>- Students will visit campus and experience HE through graduation ceremonies</w:t>
            </w:r>
          </w:p>
        </w:tc>
      </w:tr>
      <w:tr w:rsidR="002D6FF9" w:rsidRPr="002D6FF9" w14:paraId="2D13992E" w14:textId="77777777">
        <w:tc>
          <w:tcPr>
            <w:tcW w:w="4320" w:type="dxa"/>
            <w:hideMark/>
          </w:tcPr>
          <w:p w14:paraId="44C75DD4" w14:textId="77777777" w:rsidR="002D6FF9" w:rsidRPr="00AE0EBE" w:rsidRDefault="002D6FF9" w:rsidP="00B0146B">
            <w:pPr>
              <w:pStyle w:val="ListParagraph"/>
              <w:numPr>
                <w:ilvl w:val="0"/>
                <w:numId w:val="18"/>
              </w:numPr>
              <w:rPr>
                <w:lang w:val="en-US"/>
              </w:rPr>
            </w:pPr>
            <w:r w:rsidRPr="00AE0EBE">
              <w:rPr>
                <w:lang w:val="en-US"/>
              </w:rPr>
              <w:t>Outputs</w:t>
            </w:r>
          </w:p>
        </w:tc>
        <w:tc>
          <w:tcPr>
            <w:tcW w:w="4320" w:type="dxa"/>
            <w:hideMark/>
          </w:tcPr>
          <w:p w14:paraId="2F676828" w14:textId="77777777" w:rsidR="002D6FF9" w:rsidRPr="00AE0EBE" w:rsidRDefault="002D6FF9" w:rsidP="00B0146B">
            <w:pPr>
              <w:pStyle w:val="ListParagraph"/>
              <w:numPr>
                <w:ilvl w:val="0"/>
                <w:numId w:val="18"/>
              </w:numPr>
              <w:rPr>
                <w:lang w:val="en-US"/>
              </w:rPr>
            </w:pPr>
            <w:r w:rsidRPr="00AE0EBE">
              <w:rPr>
                <w:lang w:val="en-US"/>
              </w:rPr>
              <w:t>KS3</w:t>
            </w:r>
            <w:r w:rsidRPr="00AE0EBE">
              <w:rPr>
                <w:lang w:val="en-US"/>
              </w:rPr>
              <w:br/>
              <w:t xml:space="preserve">- Students can build upon their </w:t>
            </w:r>
            <w:r w:rsidRPr="00AE0EBE">
              <w:rPr>
                <w:lang w:val="en-US"/>
              </w:rPr>
              <w:lastRenderedPageBreak/>
              <w:t>cognitive strategies, metacognitive abilities and relevant study skills to their Key Stage</w:t>
            </w:r>
            <w:r w:rsidRPr="00AE0EBE">
              <w:rPr>
                <w:lang w:val="en-US"/>
              </w:rPr>
              <w:br/>
            </w:r>
            <w:r w:rsidRPr="00AE0EBE">
              <w:rPr>
                <w:lang w:val="en-US"/>
              </w:rPr>
              <w:br/>
              <w:t>KS4/KS5</w:t>
            </w:r>
            <w:r w:rsidRPr="00AE0EBE">
              <w:rPr>
                <w:lang w:val="en-US"/>
              </w:rPr>
              <w:br/>
              <w:t>- Students can expand on their skills through tutoring and mentorship.</w:t>
            </w:r>
            <w:r w:rsidRPr="00AE0EBE">
              <w:rPr>
                <w:lang w:val="en-US"/>
              </w:rPr>
              <w:br/>
              <w:t>- Students can build independence and academic self-efficacy</w:t>
            </w:r>
            <w:r w:rsidRPr="00AE0EBE">
              <w:rPr>
                <w:lang w:val="en-US"/>
              </w:rPr>
              <w:br/>
              <w:t>- Students can develop skills relevant to their Key Stage that pertain to exam success and HE progression</w:t>
            </w:r>
            <w:r w:rsidRPr="00AE0EBE">
              <w:rPr>
                <w:lang w:val="en-US"/>
              </w:rPr>
              <w:br/>
            </w:r>
            <w:r w:rsidRPr="00AE0EBE">
              <w:rPr>
                <w:lang w:val="en-US"/>
              </w:rPr>
              <w:br/>
              <w:t>All Students</w:t>
            </w:r>
            <w:r w:rsidRPr="00AE0EBE">
              <w:rPr>
                <w:lang w:val="en-US"/>
              </w:rPr>
              <w:br/>
              <w:t>- Students will experience a HE environment</w:t>
            </w:r>
            <w:r w:rsidRPr="00AE0EBE">
              <w:rPr>
                <w:lang w:val="en-US"/>
              </w:rPr>
              <w:br/>
              <w:t>- Students will have the chance for bespoke feedback and support</w:t>
            </w:r>
            <w:r w:rsidRPr="00AE0EBE">
              <w:rPr>
                <w:lang w:val="en-US"/>
              </w:rPr>
              <w:br/>
              <w:t>- Students will produce a relevant piece of academic work during the project</w:t>
            </w:r>
          </w:p>
        </w:tc>
      </w:tr>
      <w:tr w:rsidR="002D6FF9" w:rsidRPr="002D6FF9" w14:paraId="728881FD" w14:textId="77777777">
        <w:tc>
          <w:tcPr>
            <w:tcW w:w="4320" w:type="dxa"/>
            <w:hideMark/>
          </w:tcPr>
          <w:p w14:paraId="63E83A99" w14:textId="77777777" w:rsidR="002D6FF9" w:rsidRPr="00AE0EBE" w:rsidRDefault="002D6FF9" w:rsidP="00B0146B">
            <w:pPr>
              <w:pStyle w:val="ListParagraph"/>
              <w:numPr>
                <w:ilvl w:val="0"/>
                <w:numId w:val="18"/>
              </w:numPr>
              <w:rPr>
                <w:lang w:val="en-US"/>
              </w:rPr>
            </w:pPr>
            <w:r w:rsidRPr="00AE0EBE">
              <w:rPr>
                <w:lang w:val="en-US"/>
              </w:rPr>
              <w:lastRenderedPageBreak/>
              <w:t>Outcomes</w:t>
            </w:r>
          </w:p>
        </w:tc>
        <w:tc>
          <w:tcPr>
            <w:tcW w:w="4320" w:type="dxa"/>
            <w:hideMark/>
          </w:tcPr>
          <w:p w14:paraId="5F1CE4F5" w14:textId="77777777" w:rsidR="002D6FF9" w:rsidRPr="00AE0EBE" w:rsidRDefault="002D6FF9" w:rsidP="00B0146B">
            <w:pPr>
              <w:pStyle w:val="ListParagraph"/>
              <w:numPr>
                <w:ilvl w:val="0"/>
                <w:numId w:val="18"/>
              </w:numPr>
              <w:rPr>
                <w:lang w:val="en-US"/>
              </w:rPr>
            </w:pPr>
            <w:r w:rsidRPr="00AE0EBE">
              <w:rPr>
                <w:lang w:val="en-US"/>
              </w:rPr>
              <w:t>Note: All outcomes are based on self-reported and/or teacher-reported evaluation data</w:t>
            </w:r>
            <w:r w:rsidRPr="00AE0EBE">
              <w:rPr>
                <w:lang w:val="en-US"/>
              </w:rPr>
              <w:br/>
            </w:r>
            <w:r w:rsidRPr="00AE0EBE">
              <w:rPr>
                <w:lang w:val="en-US"/>
              </w:rPr>
              <w:br/>
              <w:t>Short-Term Outcomes</w:t>
            </w:r>
            <w:r w:rsidRPr="00AE0EBE">
              <w:rPr>
                <w:lang w:val="en-US"/>
              </w:rPr>
              <w:br/>
              <w:t>- Access to Study Skills Relevant to Key Stage</w:t>
            </w:r>
            <w:r w:rsidRPr="00AE0EBE">
              <w:rPr>
                <w:lang w:val="en-US"/>
              </w:rPr>
              <w:br/>
              <w:t>- Improved Attitudes to Learning</w:t>
            </w:r>
            <w:r w:rsidRPr="00AE0EBE">
              <w:rPr>
                <w:lang w:val="en-US"/>
              </w:rPr>
              <w:br/>
              <w:t>- Improved Understanding of HE</w:t>
            </w:r>
            <w:r w:rsidRPr="00AE0EBE">
              <w:rPr>
                <w:lang w:val="en-US"/>
              </w:rPr>
              <w:br/>
            </w:r>
            <w:r w:rsidRPr="00AE0EBE">
              <w:rPr>
                <w:lang w:val="en-US"/>
              </w:rPr>
              <w:br/>
              <w:t>Intermediate-Term Outcomes</w:t>
            </w:r>
            <w:r w:rsidRPr="00AE0EBE">
              <w:rPr>
                <w:lang w:val="en-US"/>
              </w:rPr>
              <w:br/>
              <w:t>- Improvements in Academic Self-Efficacy</w:t>
            </w:r>
            <w:r w:rsidRPr="00AE0EBE">
              <w:rPr>
                <w:lang w:val="en-US"/>
              </w:rPr>
              <w:br/>
              <w:t xml:space="preserve">- Improvements in Cognitive </w:t>
            </w:r>
            <w:r w:rsidRPr="00AE0EBE">
              <w:rPr>
                <w:lang w:val="en-US"/>
              </w:rPr>
              <w:lastRenderedPageBreak/>
              <w:t>Strategies/metacognition</w:t>
            </w:r>
            <w:r w:rsidRPr="00AE0EBE">
              <w:rPr>
                <w:lang w:val="en-US"/>
              </w:rPr>
              <w:br/>
              <w:t>- Improvements to Study Skills (EPQ, GCSE, A Level + General)</w:t>
            </w:r>
            <w:r w:rsidRPr="00AE0EBE">
              <w:rPr>
                <w:lang w:val="en-US"/>
              </w:rPr>
              <w:br/>
              <w:t>- Improvements in Motivation to Study</w:t>
            </w:r>
            <w:r w:rsidRPr="00AE0EBE">
              <w:rPr>
                <w:lang w:val="en-US"/>
              </w:rPr>
              <w:br/>
            </w:r>
            <w:r w:rsidRPr="00AE0EBE">
              <w:rPr>
                <w:lang w:val="en-US"/>
              </w:rPr>
              <w:br/>
              <w:t>Long-Term Outcomes</w:t>
            </w:r>
            <w:r w:rsidRPr="00AE0EBE">
              <w:rPr>
                <w:lang w:val="en-US"/>
              </w:rPr>
              <w:br/>
              <w:t>- Positive Teacher Perceptions of Study Skills Improvements</w:t>
            </w:r>
            <w:r w:rsidRPr="00AE0EBE">
              <w:rPr>
                <w:lang w:val="en-US"/>
              </w:rPr>
              <w:br/>
              <w:t>- Increased Academic Attainment</w:t>
            </w:r>
          </w:p>
        </w:tc>
      </w:tr>
      <w:tr w:rsidR="002D6FF9" w:rsidRPr="002D6FF9" w14:paraId="62A0B2A4" w14:textId="77777777">
        <w:tc>
          <w:tcPr>
            <w:tcW w:w="4320" w:type="dxa"/>
            <w:hideMark/>
          </w:tcPr>
          <w:p w14:paraId="79EFB1D4" w14:textId="77777777" w:rsidR="002D6FF9" w:rsidRPr="00AE0EBE" w:rsidRDefault="002D6FF9" w:rsidP="00B0146B">
            <w:pPr>
              <w:pStyle w:val="ListParagraph"/>
              <w:numPr>
                <w:ilvl w:val="0"/>
                <w:numId w:val="18"/>
              </w:numPr>
              <w:rPr>
                <w:lang w:val="en-US"/>
              </w:rPr>
            </w:pPr>
            <w:r w:rsidRPr="00AE0EBE">
              <w:rPr>
                <w:lang w:val="en-US"/>
              </w:rPr>
              <w:lastRenderedPageBreak/>
              <w:t>Impact</w:t>
            </w:r>
          </w:p>
        </w:tc>
        <w:tc>
          <w:tcPr>
            <w:tcW w:w="4320" w:type="dxa"/>
            <w:hideMark/>
          </w:tcPr>
          <w:p w14:paraId="7B861A02" w14:textId="77777777" w:rsidR="002D6FF9" w:rsidRPr="00AE0EBE" w:rsidRDefault="002D6FF9" w:rsidP="00B0146B">
            <w:pPr>
              <w:pStyle w:val="ListParagraph"/>
              <w:numPr>
                <w:ilvl w:val="0"/>
                <w:numId w:val="18"/>
              </w:numPr>
              <w:rPr>
                <w:lang w:val="en-US"/>
              </w:rPr>
            </w:pPr>
            <w:r w:rsidRPr="00AE0EBE">
              <w:rPr>
                <w:lang w:val="en-US"/>
              </w:rPr>
              <w:t>KS3</w:t>
            </w:r>
            <w:r w:rsidRPr="00AE0EBE">
              <w:rPr>
                <w:lang w:val="en-US"/>
              </w:rPr>
              <w:br/>
              <w:t>- Improved Attainment at KS3</w:t>
            </w:r>
            <w:r w:rsidRPr="00AE0EBE">
              <w:rPr>
                <w:lang w:val="en-US"/>
              </w:rPr>
              <w:br/>
              <w:t>- Improved Skills and Cognitive Strategies for GCSE Progression</w:t>
            </w:r>
            <w:r w:rsidRPr="00AE0EBE">
              <w:rPr>
                <w:lang w:val="en-US"/>
              </w:rPr>
              <w:br/>
            </w:r>
            <w:r w:rsidRPr="00AE0EBE">
              <w:rPr>
                <w:lang w:val="en-US"/>
              </w:rPr>
              <w:br/>
              <w:t>KS4</w:t>
            </w:r>
            <w:r w:rsidRPr="00AE0EBE">
              <w:rPr>
                <w:lang w:val="en-US"/>
              </w:rPr>
              <w:br/>
              <w:t>- Improved Attainment at KS4</w:t>
            </w:r>
            <w:r w:rsidRPr="00AE0EBE">
              <w:rPr>
                <w:lang w:val="en-US"/>
              </w:rPr>
              <w:br/>
              <w:t>- Development of Academic Capital through Tutoring and Mentorship</w:t>
            </w:r>
            <w:r w:rsidRPr="00AE0EBE">
              <w:rPr>
                <w:lang w:val="en-US"/>
              </w:rPr>
              <w:br/>
              <w:t>- Development of Key Skills through Tutoring</w:t>
            </w:r>
            <w:r w:rsidRPr="00AE0EBE">
              <w:rPr>
                <w:lang w:val="en-US"/>
              </w:rPr>
              <w:br/>
            </w:r>
            <w:r w:rsidRPr="00AE0EBE">
              <w:rPr>
                <w:lang w:val="en-US"/>
              </w:rPr>
              <w:br/>
              <w:t>KS5</w:t>
            </w:r>
            <w:r w:rsidRPr="00AE0EBE">
              <w:rPr>
                <w:lang w:val="en-US"/>
              </w:rPr>
              <w:br/>
              <w:t>- Improved Attainment at KS5</w:t>
            </w:r>
            <w:r w:rsidRPr="00AE0EBE">
              <w:rPr>
                <w:lang w:val="en-US"/>
              </w:rPr>
              <w:br/>
              <w:t xml:space="preserve">- Progression to HE through Other Outreach </w:t>
            </w:r>
            <w:proofErr w:type="spellStart"/>
            <w:r w:rsidRPr="00AE0EBE">
              <w:rPr>
                <w:lang w:val="en-US"/>
              </w:rPr>
              <w:t>Programmes</w:t>
            </w:r>
            <w:proofErr w:type="spellEnd"/>
            <w:r w:rsidRPr="00AE0EBE">
              <w:rPr>
                <w:lang w:val="en-US"/>
              </w:rPr>
              <w:br/>
              <w:t>- Development of Key Skills</w:t>
            </w:r>
          </w:p>
        </w:tc>
      </w:tr>
      <w:tr w:rsidR="002D6FF9" w:rsidRPr="002D6FF9" w14:paraId="3007EEE3" w14:textId="77777777">
        <w:tc>
          <w:tcPr>
            <w:tcW w:w="4320" w:type="dxa"/>
            <w:hideMark/>
          </w:tcPr>
          <w:p w14:paraId="49F2176B" w14:textId="77777777" w:rsidR="002D6FF9" w:rsidRPr="00AE0EBE" w:rsidRDefault="002D6FF9" w:rsidP="00B0146B">
            <w:pPr>
              <w:pStyle w:val="ListParagraph"/>
              <w:numPr>
                <w:ilvl w:val="0"/>
                <w:numId w:val="18"/>
              </w:numPr>
              <w:rPr>
                <w:lang w:val="en-US"/>
              </w:rPr>
            </w:pPr>
            <w:r w:rsidRPr="00AE0EBE">
              <w:rPr>
                <w:lang w:val="en-US"/>
              </w:rPr>
              <w:t>Rationale &amp; Assumptions</w:t>
            </w:r>
          </w:p>
        </w:tc>
        <w:tc>
          <w:tcPr>
            <w:tcW w:w="4320" w:type="dxa"/>
            <w:hideMark/>
          </w:tcPr>
          <w:p w14:paraId="6779358A" w14:textId="77777777" w:rsidR="002D6FF9" w:rsidRPr="00AE0EBE" w:rsidRDefault="002D6FF9" w:rsidP="00B0146B">
            <w:pPr>
              <w:pStyle w:val="ListParagraph"/>
              <w:numPr>
                <w:ilvl w:val="0"/>
                <w:numId w:val="18"/>
              </w:numPr>
              <w:rPr>
                <w:lang w:val="en-US"/>
              </w:rPr>
            </w:pPr>
            <w:r w:rsidRPr="00AE0EBE">
              <w:rPr>
                <w:lang w:val="en-US"/>
              </w:rPr>
              <w:t xml:space="preserve">Research indicates that a lack of academic and metacognitive skills, in conjunction with a lack of resilience and self-efficacy, contributes to a significant attainment gap between disadvantaged young people and their non-disadvantaged peers. This in turn contributes to a lower rate of access to higher </w:t>
            </w:r>
            <w:r w:rsidRPr="00AE0EBE">
              <w:rPr>
                <w:lang w:val="en-US"/>
              </w:rPr>
              <w:lastRenderedPageBreak/>
              <w:t xml:space="preserve">education. As part of Coachbright, we assume that participating target schools will support our target student demographics to engage with the sessions. We assume that liaison with participating contacts will be consistent and sustained, allowing for medium and long-term </w:t>
            </w:r>
            <w:proofErr w:type="spellStart"/>
            <w:r w:rsidRPr="00AE0EBE">
              <w:rPr>
                <w:lang w:val="en-US"/>
              </w:rPr>
              <w:t>programmes</w:t>
            </w:r>
            <w:proofErr w:type="spellEnd"/>
            <w:r w:rsidRPr="00AE0EBE">
              <w:rPr>
                <w:lang w:val="en-US"/>
              </w:rPr>
              <w:t xml:space="preserve"> of intervention for our target demographics. We assume that participating institutions have the resources to commit to the </w:t>
            </w:r>
            <w:proofErr w:type="spellStart"/>
            <w:r w:rsidRPr="00AE0EBE">
              <w:rPr>
                <w:lang w:val="en-US"/>
              </w:rPr>
              <w:t>programme</w:t>
            </w:r>
            <w:proofErr w:type="spellEnd"/>
            <w:r w:rsidRPr="00AE0EBE">
              <w:rPr>
                <w:lang w:val="en-US"/>
              </w:rPr>
              <w:t xml:space="preserve">, including physical and logistical resources, and acknowledge the impact significant teacher workload may have on the </w:t>
            </w:r>
            <w:proofErr w:type="spellStart"/>
            <w:r w:rsidRPr="00AE0EBE">
              <w:rPr>
                <w:lang w:val="en-US"/>
              </w:rPr>
              <w:t>programme</w:t>
            </w:r>
            <w:proofErr w:type="spellEnd"/>
            <w:r w:rsidRPr="00AE0EBE">
              <w:rPr>
                <w:lang w:val="en-US"/>
              </w:rPr>
              <w:t xml:space="preserve">. We assume students will engage constructively with our sessions, but also acknowledge that there may be </w:t>
            </w:r>
            <w:proofErr w:type="spellStart"/>
            <w:r w:rsidRPr="00AE0EBE">
              <w:rPr>
                <w:lang w:val="en-US"/>
              </w:rPr>
              <w:t>behavioural</w:t>
            </w:r>
            <w:proofErr w:type="spellEnd"/>
            <w:r w:rsidRPr="00AE0EBE">
              <w:rPr>
                <w:lang w:val="en-US"/>
              </w:rPr>
              <w:t xml:space="preserve"> challenges, especially amongst disadvantaged students who may be negatively affected by factors such as mental health, parental attitudes and/or their living situation. We assume that students will acknowledge the guidance they are given, and constructively and honestly self-report on improvements they feel they’ve made because of our </w:t>
            </w:r>
            <w:proofErr w:type="spellStart"/>
            <w:r w:rsidRPr="00AE0EBE">
              <w:rPr>
                <w:lang w:val="en-US"/>
              </w:rPr>
              <w:t>programmes</w:t>
            </w:r>
            <w:proofErr w:type="spellEnd"/>
            <w:r w:rsidRPr="00AE0EBE">
              <w:rPr>
                <w:lang w:val="en-US"/>
              </w:rPr>
              <w:t xml:space="preserve">. Finally, we acknowledge external influences on student attainment and </w:t>
            </w:r>
            <w:proofErr w:type="spellStart"/>
            <w:r w:rsidRPr="00AE0EBE">
              <w:rPr>
                <w:lang w:val="en-US"/>
              </w:rPr>
              <w:t>behaviour</w:t>
            </w:r>
            <w:proofErr w:type="spellEnd"/>
            <w:r w:rsidRPr="00AE0EBE">
              <w:rPr>
                <w:lang w:val="en-US"/>
              </w:rPr>
              <w:t xml:space="preserve"> and accept that we are unlikely to </w:t>
            </w:r>
            <w:r w:rsidRPr="00AE0EBE">
              <w:rPr>
                <w:lang w:val="en-US"/>
              </w:rPr>
              <w:lastRenderedPageBreak/>
              <w:t>have a significant impact, if any at all, on said influences.</w:t>
            </w:r>
          </w:p>
        </w:tc>
      </w:tr>
    </w:tbl>
    <w:p w14:paraId="3B6448B1" w14:textId="77777777" w:rsidR="002D6FF9" w:rsidRPr="002D6FF9" w:rsidRDefault="002D6FF9" w:rsidP="002D6FF9">
      <w:pPr>
        <w:rPr>
          <w:lang w:val="en-US"/>
        </w:rPr>
      </w:pPr>
    </w:p>
    <w:p w14:paraId="71EDD9DA" w14:textId="77777777" w:rsidR="002D6FF9" w:rsidRPr="002D6FF9" w:rsidRDefault="002D6FF9" w:rsidP="002D6FF9"/>
    <w:sectPr w:rsidR="002D6FF9" w:rsidRPr="002D6FF9" w:rsidSect="006129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023EC" w14:textId="77777777" w:rsidR="00B0146B" w:rsidRDefault="00B0146B" w:rsidP="00E65A99">
      <w:pPr>
        <w:spacing w:after="0" w:line="240" w:lineRule="auto"/>
      </w:pPr>
      <w:r>
        <w:separator/>
      </w:r>
    </w:p>
  </w:endnote>
  <w:endnote w:type="continuationSeparator" w:id="0">
    <w:p w14:paraId="1582CC8C" w14:textId="77777777" w:rsidR="00B0146B" w:rsidRDefault="00B0146B" w:rsidP="00E65A99">
      <w:pPr>
        <w:spacing w:after="0" w:line="240" w:lineRule="auto"/>
      </w:pPr>
      <w:r>
        <w:continuationSeparator/>
      </w:r>
    </w:p>
  </w:endnote>
  <w:endnote w:type="continuationNotice" w:id="1">
    <w:p w14:paraId="203B629D" w14:textId="77777777" w:rsidR="00B0146B" w:rsidRDefault="00B01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EE01D" w14:textId="61AE1566" w:rsidR="00B71573" w:rsidRPr="00532BE3" w:rsidRDefault="00B71573" w:rsidP="00B71573">
    <w:pPr>
      <w:pStyle w:val="Header"/>
      <w:rPr>
        <w:sz w:val="22"/>
        <w:szCs w:val="22"/>
      </w:rPr>
    </w:pPr>
    <w:r w:rsidRPr="00532BE3">
      <w:rPr>
        <w:sz w:val="22"/>
        <w:szCs w:val="22"/>
      </w:rPr>
      <w:t xml:space="preserve">©University of Reading </w:t>
    </w:r>
    <w:r w:rsidRPr="00532BE3">
      <w:rPr>
        <w:sz w:val="22"/>
        <w:szCs w:val="22"/>
      </w:rPr>
      <w:fldChar w:fldCharType="begin"/>
    </w:r>
    <w:r w:rsidRPr="00532BE3">
      <w:rPr>
        <w:sz w:val="22"/>
        <w:szCs w:val="22"/>
      </w:rPr>
      <w:instrText xml:space="preserve"> DATE  \@ "YYYY"  \* MERGEFORMAT </w:instrText>
    </w:r>
    <w:r w:rsidRPr="00532BE3">
      <w:rPr>
        <w:sz w:val="22"/>
        <w:szCs w:val="22"/>
      </w:rPr>
      <w:fldChar w:fldCharType="separate"/>
    </w:r>
    <w:r w:rsidR="005832A3">
      <w:rPr>
        <w:noProof/>
        <w:sz w:val="22"/>
        <w:szCs w:val="22"/>
      </w:rPr>
      <w:t>2026</w:t>
    </w:r>
    <w:r w:rsidRPr="00532BE3">
      <w:rPr>
        <w:sz w:val="22"/>
        <w:szCs w:val="22"/>
      </w:rPr>
      <w:fldChar w:fldCharType="end"/>
    </w:r>
    <w:r w:rsidRPr="00532BE3">
      <w:rPr>
        <w:sz w:val="22"/>
        <w:szCs w:val="22"/>
      </w:rPr>
      <w:tab/>
    </w:r>
    <w:r w:rsidRPr="00532BE3">
      <w:rPr>
        <w:sz w:val="22"/>
        <w:szCs w:val="22"/>
      </w:rPr>
      <w:tab/>
      <w:t xml:space="preserve">Page </w:t>
    </w:r>
    <w:r w:rsidRPr="00532BE3">
      <w:rPr>
        <w:sz w:val="22"/>
        <w:szCs w:val="22"/>
      </w:rPr>
      <w:fldChar w:fldCharType="begin"/>
    </w:r>
    <w:r w:rsidRPr="00532BE3">
      <w:rPr>
        <w:sz w:val="22"/>
        <w:szCs w:val="22"/>
      </w:rPr>
      <w:instrText xml:space="preserve"> PAGE </w:instrText>
    </w:r>
    <w:r w:rsidRPr="00532BE3">
      <w:rPr>
        <w:sz w:val="22"/>
        <w:szCs w:val="22"/>
      </w:rPr>
      <w:fldChar w:fldCharType="separate"/>
    </w:r>
    <w:r>
      <w:rPr>
        <w:sz w:val="22"/>
        <w:szCs w:val="22"/>
      </w:rPr>
      <w:t>2</w:t>
    </w:r>
    <w:r w:rsidRPr="00532BE3">
      <w:rPr>
        <w:sz w:val="22"/>
        <w:szCs w:val="22"/>
      </w:rPr>
      <w:fldChar w:fldCharType="end"/>
    </w:r>
  </w:p>
  <w:p w14:paraId="27F6A313" w14:textId="77777777" w:rsidR="00B71573" w:rsidRDefault="00B71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5895D" w14:textId="77777777" w:rsidR="00B0146B" w:rsidRDefault="00B0146B" w:rsidP="00E65A99">
      <w:pPr>
        <w:spacing w:after="0" w:line="240" w:lineRule="auto"/>
      </w:pPr>
      <w:r>
        <w:separator/>
      </w:r>
    </w:p>
  </w:footnote>
  <w:footnote w:type="continuationSeparator" w:id="0">
    <w:p w14:paraId="67AAC696" w14:textId="77777777" w:rsidR="00B0146B" w:rsidRDefault="00B0146B" w:rsidP="00E65A99">
      <w:pPr>
        <w:spacing w:after="0" w:line="240" w:lineRule="auto"/>
      </w:pPr>
      <w:r>
        <w:continuationSeparator/>
      </w:r>
    </w:p>
  </w:footnote>
  <w:footnote w:type="continuationNotice" w:id="1">
    <w:p w14:paraId="68ECA593" w14:textId="77777777" w:rsidR="00B0146B" w:rsidRDefault="00B01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EA72D" w14:textId="0F473CC2" w:rsidR="00E65A99" w:rsidRDefault="7510C0C7" w:rsidP="00E82884">
    <w:pPr>
      <w:pStyle w:val="UoRUnitname"/>
      <w:rPr>
        <w:noProof/>
        <w:lang w:eastAsia="en-GB"/>
      </w:rPr>
    </w:pPr>
    <w:r>
      <w:rPr>
        <w:sz w:val="20"/>
        <w:szCs w:val="20"/>
      </w:rPr>
      <w:t xml:space="preserve">APP </w:t>
    </w:r>
    <w:r w:rsidRPr="00F83BB9">
      <w:rPr>
        <w:sz w:val="20"/>
        <w:szCs w:val="20"/>
      </w:rPr>
      <w:t>Evaluatio</w:t>
    </w:r>
    <w:r>
      <w:rPr>
        <w:sz w:val="20"/>
        <w:szCs w:val="20"/>
      </w:rPr>
      <w:t>n</w:t>
    </w:r>
    <w:r>
      <w:t xml:space="preserve"> – </w:t>
    </w:r>
    <w:r w:rsidRPr="00D407D5">
      <w:rPr>
        <w:sz w:val="20"/>
        <w:szCs w:val="20"/>
      </w:rPr>
      <w:t>Coachbright 24/25</w:t>
    </w:r>
    <w:r w:rsidR="00E82884" w:rsidRPr="00D407D5">
      <w:rPr>
        <w:sz w:val="20"/>
        <w:szCs w:val="20"/>
      </w:rPr>
      <w:br/>
    </w:r>
    <w:r w:rsidR="00E82884">
      <w:br/>
    </w:r>
    <w:r w:rsidR="00E82884">
      <w:ptab w:relativeTo="margin" w:alignment="right" w:leader="none"/>
    </w:r>
    <w:r w:rsidR="00E82884">
      <w:rPr>
        <w:noProof/>
        <w:lang w:eastAsia="en-GB"/>
      </w:rPr>
      <w:drawing>
        <wp:inline distT="0" distB="0" distL="0" distR="0" wp14:anchorId="13C9FD53" wp14:editId="470824D4">
          <wp:extent cx="1511935" cy="487680"/>
          <wp:effectExtent l="0" t="0" r="0" b="7620"/>
          <wp:docPr id="242356380" name="Picture 242356380" descr="University of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487680"/>
                  </a:xfrm>
                  <a:prstGeom prst="rect">
                    <a:avLst/>
                  </a:prstGeom>
                  <a:noFill/>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5fEr2afxm6GAIW" int2:id="aWH8nnX1">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6280"/>
    <w:multiLevelType w:val="multilevel"/>
    <w:tmpl w:val="1FD47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C7A17"/>
    <w:multiLevelType w:val="hybridMultilevel"/>
    <w:tmpl w:val="4718DCB6"/>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415634C"/>
    <w:multiLevelType w:val="hybridMultilevel"/>
    <w:tmpl w:val="A296F884"/>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4CF4824"/>
    <w:multiLevelType w:val="multilevel"/>
    <w:tmpl w:val="C6683B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436313"/>
    <w:multiLevelType w:val="multilevel"/>
    <w:tmpl w:val="351A85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970722E"/>
    <w:multiLevelType w:val="hybridMultilevel"/>
    <w:tmpl w:val="A96285F8"/>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4AF52D5"/>
    <w:multiLevelType w:val="hybridMultilevel"/>
    <w:tmpl w:val="E1AACD2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34D50FF9"/>
    <w:multiLevelType w:val="multilevel"/>
    <w:tmpl w:val="6CB838B2"/>
    <w:lvl w:ilvl="0">
      <w:start w:val="1"/>
      <w:numFmt w:val="bullet"/>
      <w:lvlText w:val="o"/>
      <w:lvlJc w:val="left"/>
      <w:pPr>
        <w:tabs>
          <w:tab w:val="num" w:pos="1080"/>
        </w:tabs>
        <w:ind w:left="1080" w:hanging="360"/>
      </w:pPr>
      <w:rPr>
        <w:rFonts w:ascii="Courier New" w:hAnsi="Courier New" w:hint="default"/>
        <w:sz w:val="20"/>
      </w:rPr>
    </w:lvl>
    <w:lvl w:ilvl="1">
      <w:start w:val="1"/>
      <w:numFmt w:val="decimal"/>
      <w:lvlText w:val="%2-"/>
      <w:lvlJc w:val="left"/>
      <w:pPr>
        <w:ind w:left="1800" w:hanging="360"/>
      </w:pPr>
      <w:rPr>
        <w:rFonts w:hint="default"/>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8" w15:restartNumberingAfterBreak="0">
    <w:nsid w:val="3C135C3E"/>
    <w:multiLevelType w:val="hybridMultilevel"/>
    <w:tmpl w:val="4F525604"/>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DBF7AFF"/>
    <w:multiLevelType w:val="multilevel"/>
    <w:tmpl w:val="9584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C855F8"/>
    <w:multiLevelType w:val="hybridMultilevel"/>
    <w:tmpl w:val="9CFA8B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170C28"/>
    <w:multiLevelType w:val="hybridMultilevel"/>
    <w:tmpl w:val="8CEE201E"/>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B071A01"/>
    <w:multiLevelType w:val="hybridMultilevel"/>
    <w:tmpl w:val="EC563C4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12B16D8"/>
    <w:multiLevelType w:val="multilevel"/>
    <w:tmpl w:val="064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62E7B91"/>
    <w:multiLevelType w:val="hybridMultilevel"/>
    <w:tmpl w:val="3D14986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A524FC4"/>
    <w:multiLevelType w:val="multilevel"/>
    <w:tmpl w:val="A44A2F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5BC01F0F"/>
    <w:multiLevelType w:val="multilevel"/>
    <w:tmpl w:val="506E1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 w15:restartNumberingAfterBreak="0">
    <w:nsid w:val="61D74E3A"/>
    <w:multiLevelType w:val="multilevel"/>
    <w:tmpl w:val="91CE09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 w15:restartNumberingAfterBreak="0">
    <w:nsid w:val="64211F8D"/>
    <w:multiLevelType w:val="multilevel"/>
    <w:tmpl w:val="2D0439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64C81DCD"/>
    <w:multiLevelType w:val="hybridMultilevel"/>
    <w:tmpl w:val="F3DA9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C709E6"/>
    <w:multiLevelType w:val="multilevel"/>
    <w:tmpl w:val="F06872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9BF256F"/>
    <w:multiLevelType w:val="hybridMultilevel"/>
    <w:tmpl w:val="DFF425B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1ED52C7"/>
    <w:multiLevelType w:val="multilevel"/>
    <w:tmpl w:val="CF2C57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D85142"/>
    <w:multiLevelType w:val="hybridMultilevel"/>
    <w:tmpl w:val="0ADE6522"/>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E612994"/>
    <w:multiLevelType w:val="hybridMultilevel"/>
    <w:tmpl w:val="BA086E96"/>
    <w:lvl w:ilvl="0" w:tplc="08090001">
      <w:start w:val="1"/>
      <w:numFmt w:val="bullet"/>
      <w:lvlText w:val=""/>
      <w:lvlJc w:val="left"/>
      <w:pPr>
        <w:ind w:left="720" w:hanging="360"/>
      </w:pPr>
      <w:rPr>
        <w:rFonts w:ascii="Symbol" w:hAnsi="Symbol" w:hint="default"/>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FF70570"/>
    <w:multiLevelType w:val="multilevel"/>
    <w:tmpl w:val="B10803D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1914050172">
    <w:abstractNumId w:val="3"/>
  </w:num>
  <w:num w:numId="2" w16cid:durableId="1449664502">
    <w:abstractNumId w:val="7"/>
  </w:num>
  <w:num w:numId="3" w16cid:durableId="763456759">
    <w:abstractNumId w:val="0"/>
  </w:num>
  <w:num w:numId="4" w16cid:durableId="375474053">
    <w:abstractNumId w:val="20"/>
  </w:num>
  <w:num w:numId="5" w16cid:durableId="105975593">
    <w:abstractNumId w:val="9"/>
  </w:num>
  <w:num w:numId="6" w16cid:durableId="1096243398">
    <w:abstractNumId w:val="4"/>
  </w:num>
  <w:num w:numId="7" w16cid:durableId="2121609020">
    <w:abstractNumId w:val="25"/>
  </w:num>
  <w:num w:numId="8" w16cid:durableId="1494300337">
    <w:abstractNumId w:val="16"/>
  </w:num>
  <w:num w:numId="9" w16cid:durableId="1455827427">
    <w:abstractNumId w:val="17"/>
  </w:num>
  <w:num w:numId="10" w16cid:durableId="323169737">
    <w:abstractNumId w:val="13"/>
  </w:num>
  <w:num w:numId="11" w16cid:durableId="788472432">
    <w:abstractNumId w:val="18"/>
  </w:num>
  <w:num w:numId="12" w16cid:durableId="1443957319">
    <w:abstractNumId w:val="22"/>
  </w:num>
  <w:num w:numId="13" w16cid:durableId="145325318">
    <w:abstractNumId w:val="15"/>
  </w:num>
  <w:num w:numId="14" w16cid:durableId="1276446161">
    <w:abstractNumId w:val="19"/>
  </w:num>
  <w:num w:numId="15" w16cid:durableId="735665066">
    <w:abstractNumId w:val="2"/>
  </w:num>
  <w:num w:numId="16" w16cid:durableId="180903489">
    <w:abstractNumId w:val="1"/>
  </w:num>
  <w:num w:numId="17" w16cid:durableId="67658869">
    <w:abstractNumId w:val="8"/>
  </w:num>
  <w:num w:numId="18" w16cid:durableId="684869824">
    <w:abstractNumId w:val="10"/>
  </w:num>
  <w:num w:numId="19" w16cid:durableId="1139179034">
    <w:abstractNumId w:val="21"/>
  </w:num>
  <w:num w:numId="20" w16cid:durableId="1213227173">
    <w:abstractNumId w:val="12"/>
  </w:num>
  <w:num w:numId="21" w16cid:durableId="487869735">
    <w:abstractNumId w:val="23"/>
  </w:num>
  <w:num w:numId="22" w16cid:durableId="287979441">
    <w:abstractNumId w:val="11"/>
  </w:num>
  <w:num w:numId="23" w16cid:durableId="249051595">
    <w:abstractNumId w:val="6"/>
  </w:num>
  <w:num w:numId="24" w16cid:durableId="1129057851">
    <w:abstractNumId w:val="14"/>
  </w:num>
  <w:num w:numId="25" w16cid:durableId="1263489221">
    <w:abstractNumId w:val="24"/>
  </w:num>
  <w:num w:numId="26" w16cid:durableId="66139152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ocumentProtection w:edit="readOnly"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20F"/>
    <w:rsid w:val="00004E91"/>
    <w:rsid w:val="00012A82"/>
    <w:rsid w:val="00021651"/>
    <w:rsid w:val="00025D71"/>
    <w:rsid w:val="00030975"/>
    <w:rsid w:val="000310E7"/>
    <w:rsid w:val="00033F1E"/>
    <w:rsid w:val="00062D1F"/>
    <w:rsid w:val="00070714"/>
    <w:rsid w:val="00071281"/>
    <w:rsid w:val="00071F53"/>
    <w:rsid w:val="00083A7A"/>
    <w:rsid w:val="00097DBB"/>
    <w:rsid w:val="000A12B2"/>
    <w:rsid w:val="000A180F"/>
    <w:rsid w:val="000A1C0E"/>
    <w:rsid w:val="000A2544"/>
    <w:rsid w:val="000A2A40"/>
    <w:rsid w:val="000A7CA3"/>
    <w:rsid w:val="000B093D"/>
    <w:rsid w:val="000D0067"/>
    <w:rsid w:val="000D46D9"/>
    <w:rsid w:val="000E0ACD"/>
    <w:rsid w:val="000E0CB7"/>
    <w:rsid w:val="000E5738"/>
    <w:rsid w:val="000F004F"/>
    <w:rsid w:val="000F0487"/>
    <w:rsid w:val="000F081D"/>
    <w:rsid w:val="000F28C1"/>
    <w:rsid w:val="00101772"/>
    <w:rsid w:val="00115FAC"/>
    <w:rsid w:val="00127367"/>
    <w:rsid w:val="00130C9B"/>
    <w:rsid w:val="00132506"/>
    <w:rsid w:val="00136855"/>
    <w:rsid w:val="001372D4"/>
    <w:rsid w:val="00141FBC"/>
    <w:rsid w:val="00143427"/>
    <w:rsid w:val="001477C6"/>
    <w:rsid w:val="0016567F"/>
    <w:rsid w:val="00176964"/>
    <w:rsid w:val="0018367F"/>
    <w:rsid w:val="00186356"/>
    <w:rsid w:val="00186513"/>
    <w:rsid w:val="001A14A9"/>
    <w:rsid w:val="001A1AEB"/>
    <w:rsid w:val="001A2373"/>
    <w:rsid w:val="001A2426"/>
    <w:rsid w:val="001A42CD"/>
    <w:rsid w:val="001A49AF"/>
    <w:rsid w:val="001A5764"/>
    <w:rsid w:val="001A6275"/>
    <w:rsid w:val="001B58E0"/>
    <w:rsid w:val="001B6486"/>
    <w:rsid w:val="001C0F84"/>
    <w:rsid w:val="001C438E"/>
    <w:rsid w:val="001E230B"/>
    <w:rsid w:val="001E2810"/>
    <w:rsid w:val="001E3753"/>
    <w:rsid w:val="001E6C8D"/>
    <w:rsid w:val="001E730F"/>
    <w:rsid w:val="001F5CA1"/>
    <w:rsid w:val="001F67CA"/>
    <w:rsid w:val="00201D2A"/>
    <w:rsid w:val="00202F08"/>
    <w:rsid w:val="00205C14"/>
    <w:rsid w:val="0020631D"/>
    <w:rsid w:val="00206914"/>
    <w:rsid w:val="00210D55"/>
    <w:rsid w:val="002157CB"/>
    <w:rsid w:val="0022018F"/>
    <w:rsid w:val="002265BA"/>
    <w:rsid w:val="00230C0D"/>
    <w:rsid w:val="00237822"/>
    <w:rsid w:val="00247581"/>
    <w:rsid w:val="002518F8"/>
    <w:rsid w:val="00253F3B"/>
    <w:rsid w:val="00253FA6"/>
    <w:rsid w:val="0025421B"/>
    <w:rsid w:val="00261FA7"/>
    <w:rsid w:val="00272E76"/>
    <w:rsid w:val="00273550"/>
    <w:rsid w:val="00274869"/>
    <w:rsid w:val="00275D46"/>
    <w:rsid w:val="002768F6"/>
    <w:rsid w:val="00280EFA"/>
    <w:rsid w:val="002936B0"/>
    <w:rsid w:val="00297A57"/>
    <w:rsid w:val="002A001D"/>
    <w:rsid w:val="002A0385"/>
    <w:rsid w:val="002A1872"/>
    <w:rsid w:val="002C10AE"/>
    <w:rsid w:val="002C274E"/>
    <w:rsid w:val="002C3131"/>
    <w:rsid w:val="002D2E54"/>
    <w:rsid w:val="002D3D0D"/>
    <w:rsid w:val="002D4582"/>
    <w:rsid w:val="002D6AFD"/>
    <w:rsid w:val="002D6FF9"/>
    <w:rsid w:val="002E56AF"/>
    <w:rsid w:val="002F07EA"/>
    <w:rsid w:val="00300E02"/>
    <w:rsid w:val="0030103D"/>
    <w:rsid w:val="00302DED"/>
    <w:rsid w:val="00305710"/>
    <w:rsid w:val="00306A17"/>
    <w:rsid w:val="003174FC"/>
    <w:rsid w:val="003201A4"/>
    <w:rsid w:val="003409CF"/>
    <w:rsid w:val="00341B16"/>
    <w:rsid w:val="00342099"/>
    <w:rsid w:val="00342902"/>
    <w:rsid w:val="00350393"/>
    <w:rsid w:val="003550F3"/>
    <w:rsid w:val="00356A31"/>
    <w:rsid w:val="00365462"/>
    <w:rsid w:val="003679E0"/>
    <w:rsid w:val="00367C10"/>
    <w:rsid w:val="003700AA"/>
    <w:rsid w:val="003706E1"/>
    <w:rsid w:val="00374D1A"/>
    <w:rsid w:val="003763CC"/>
    <w:rsid w:val="00385236"/>
    <w:rsid w:val="00395E10"/>
    <w:rsid w:val="003A720C"/>
    <w:rsid w:val="003B141E"/>
    <w:rsid w:val="003B2626"/>
    <w:rsid w:val="003B50BF"/>
    <w:rsid w:val="003B5753"/>
    <w:rsid w:val="003B6CDA"/>
    <w:rsid w:val="003C2A11"/>
    <w:rsid w:val="003C3B5C"/>
    <w:rsid w:val="003D5FD6"/>
    <w:rsid w:val="003D72DA"/>
    <w:rsid w:val="003E0B75"/>
    <w:rsid w:val="003E159A"/>
    <w:rsid w:val="003E282C"/>
    <w:rsid w:val="003E37D3"/>
    <w:rsid w:val="003E73AB"/>
    <w:rsid w:val="00414A68"/>
    <w:rsid w:val="00424F9C"/>
    <w:rsid w:val="0043769B"/>
    <w:rsid w:val="00442B1D"/>
    <w:rsid w:val="00446F2D"/>
    <w:rsid w:val="00453E1E"/>
    <w:rsid w:val="00466ED1"/>
    <w:rsid w:val="0047260B"/>
    <w:rsid w:val="00474EDF"/>
    <w:rsid w:val="00483C5A"/>
    <w:rsid w:val="00495141"/>
    <w:rsid w:val="004A7880"/>
    <w:rsid w:val="004B0E08"/>
    <w:rsid w:val="004B34E3"/>
    <w:rsid w:val="004B7CDD"/>
    <w:rsid w:val="004C206C"/>
    <w:rsid w:val="004D027A"/>
    <w:rsid w:val="004D33D9"/>
    <w:rsid w:val="004D4000"/>
    <w:rsid w:val="004E0449"/>
    <w:rsid w:val="004F6E92"/>
    <w:rsid w:val="00503DB8"/>
    <w:rsid w:val="00505541"/>
    <w:rsid w:val="00512DCC"/>
    <w:rsid w:val="005204FE"/>
    <w:rsid w:val="00520D01"/>
    <w:rsid w:val="005244C9"/>
    <w:rsid w:val="00525224"/>
    <w:rsid w:val="005337E8"/>
    <w:rsid w:val="00534985"/>
    <w:rsid w:val="00537A69"/>
    <w:rsid w:val="0054566B"/>
    <w:rsid w:val="005473C5"/>
    <w:rsid w:val="00547758"/>
    <w:rsid w:val="00552E81"/>
    <w:rsid w:val="00554EF8"/>
    <w:rsid w:val="0056381E"/>
    <w:rsid w:val="0056544D"/>
    <w:rsid w:val="00574BFF"/>
    <w:rsid w:val="00575BFD"/>
    <w:rsid w:val="005816D7"/>
    <w:rsid w:val="005832A3"/>
    <w:rsid w:val="00585645"/>
    <w:rsid w:val="00586E8F"/>
    <w:rsid w:val="00587422"/>
    <w:rsid w:val="00590CD2"/>
    <w:rsid w:val="00596B20"/>
    <w:rsid w:val="005A0709"/>
    <w:rsid w:val="005B121C"/>
    <w:rsid w:val="005B257F"/>
    <w:rsid w:val="005B6BD8"/>
    <w:rsid w:val="005C1F61"/>
    <w:rsid w:val="005C205A"/>
    <w:rsid w:val="005C3D7E"/>
    <w:rsid w:val="005E0D55"/>
    <w:rsid w:val="005E1CB5"/>
    <w:rsid w:val="005F0420"/>
    <w:rsid w:val="005F2453"/>
    <w:rsid w:val="005F2FDE"/>
    <w:rsid w:val="005F4158"/>
    <w:rsid w:val="005F5ED1"/>
    <w:rsid w:val="00601C06"/>
    <w:rsid w:val="00603D0F"/>
    <w:rsid w:val="00605F9E"/>
    <w:rsid w:val="00610D46"/>
    <w:rsid w:val="00612914"/>
    <w:rsid w:val="0061370E"/>
    <w:rsid w:val="00615210"/>
    <w:rsid w:val="00620B01"/>
    <w:rsid w:val="00632664"/>
    <w:rsid w:val="0065004F"/>
    <w:rsid w:val="0065293D"/>
    <w:rsid w:val="00655E7D"/>
    <w:rsid w:val="00656189"/>
    <w:rsid w:val="0066373D"/>
    <w:rsid w:val="00666D47"/>
    <w:rsid w:val="00671D83"/>
    <w:rsid w:val="006906C8"/>
    <w:rsid w:val="006A44F1"/>
    <w:rsid w:val="006A6969"/>
    <w:rsid w:val="006B5698"/>
    <w:rsid w:val="006C2675"/>
    <w:rsid w:val="006D1A09"/>
    <w:rsid w:val="006D2466"/>
    <w:rsid w:val="006D7124"/>
    <w:rsid w:val="006E0492"/>
    <w:rsid w:val="006E4ECC"/>
    <w:rsid w:val="006F1301"/>
    <w:rsid w:val="007034F5"/>
    <w:rsid w:val="00707312"/>
    <w:rsid w:val="00713BDD"/>
    <w:rsid w:val="0072671C"/>
    <w:rsid w:val="007313F5"/>
    <w:rsid w:val="0073653F"/>
    <w:rsid w:val="00736D91"/>
    <w:rsid w:val="00740ED8"/>
    <w:rsid w:val="00742C87"/>
    <w:rsid w:val="00743203"/>
    <w:rsid w:val="00745972"/>
    <w:rsid w:val="00751186"/>
    <w:rsid w:val="00752C08"/>
    <w:rsid w:val="0075575E"/>
    <w:rsid w:val="0075773B"/>
    <w:rsid w:val="00760AC7"/>
    <w:rsid w:val="007619D2"/>
    <w:rsid w:val="0076406C"/>
    <w:rsid w:val="00765FD1"/>
    <w:rsid w:val="007668B4"/>
    <w:rsid w:val="00767045"/>
    <w:rsid w:val="00783002"/>
    <w:rsid w:val="00783140"/>
    <w:rsid w:val="007840A5"/>
    <w:rsid w:val="00786C92"/>
    <w:rsid w:val="007873BB"/>
    <w:rsid w:val="00787791"/>
    <w:rsid w:val="00791A56"/>
    <w:rsid w:val="007972EF"/>
    <w:rsid w:val="007B23FD"/>
    <w:rsid w:val="007B4287"/>
    <w:rsid w:val="007B7DCD"/>
    <w:rsid w:val="007C4BFB"/>
    <w:rsid w:val="007C5246"/>
    <w:rsid w:val="007C6880"/>
    <w:rsid w:val="007D5A83"/>
    <w:rsid w:val="007D6E6B"/>
    <w:rsid w:val="007D6E7D"/>
    <w:rsid w:val="007E3A1D"/>
    <w:rsid w:val="007E5C31"/>
    <w:rsid w:val="00800A64"/>
    <w:rsid w:val="008065AE"/>
    <w:rsid w:val="00806C33"/>
    <w:rsid w:val="008104A1"/>
    <w:rsid w:val="00811BE9"/>
    <w:rsid w:val="00817F61"/>
    <w:rsid w:val="00820BC8"/>
    <w:rsid w:val="00821866"/>
    <w:rsid w:val="00823DB0"/>
    <w:rsid w:val="0082487E"/>
    <w:rsid w:val="0082555B"/>
    <w:rsid w:val="0083088B"/>
    <w:rsid w:val="0083295D"/>
    <w:rsid w:val="008376B7"/>
    <w:rsid w:val="00841D5B"/>
    <w:rsid w:val="008434EE"/>
    <w:rsid w:val="0084714A"/>
    <w:rsid w:val="00854A61"/>
    <w:rsid w:val="00855E42"/>
    <w:rsid w:val="0086290B"/>
    <w:rsid w:val="008633C2"/>
    <w:rsid w:val="00876BCF"/>
    <w:rsid w:val="00880A78"/>
    <w:rsid w:val="008834E1"/>
    <w:rsid w:val="00884CF1"/>
    <w:rsid w:val="00891F14"/>
    <w:rsid w:val="008944CB"/>
    <w:rsid w:val="00896081"/>
    <w:rsid w:val="008975D8"/>
    <w:rsid w:val="008A4BB6"/>
    <w:rsid w:val="008B2276"/>
    <w:rsid w:val="008B78D5"/>
    <w:rsid w:val="008B7E84"/>
    <w:rsid w:val="008C44B4"/>
    <w:rsid w:val="008C7064"/>
    <w:rsid w:val="008D0644"/>
    <w:rsid w:val="008D3898"/>
    <w:rsid w:val="008D3AB6"/>
    <w:rsid w:val="008E037F"/>
    <w:rsid w:val="008E70CD"/>
    <w:rsid w:val="008E7C02"/>
    <w:rsid w:val="008F72C1"/>
    <w:rsid w:val="009017EB"/>
    <w:rsid w:val="00910690"/>
    <w:rsid w:val="0091A45F"/>
    <w:rsid w:val="00926617"/>
    <w:rsid w:val="009267D5"/>
    <w:rsid w:val="00926A6A"/>
    <w:rsid w:val="0092701A"/>
    <w:rsid w:val="00927BC8"/>
    <w:rsid w:val="009517B5"/>
    <w:rsid w:val="00967B3D"/>
    <w:rsid w:val="00967BB6"/>
    <w:rsid w:val="009715F5"/>
    <w:rsid w:val="00972B2C"/>
    <w:rsid w:val="00982E45"/>
    <w:rsid w:val="009910B7"/>
    <w:rsid w:val="00993749"/>
    <w:rsid w:val="00995DF2"/>
    <w:rsid w:val="00996E88"/>
    <w:rsid w:val="009A68A6"/>
    <w:rsid w:val="009B1CBA"/>
    <w:rsid w:val="009B6909"/>
    <w:rsid w:val="009C730C"/>
    <w:rsid w:val="009C795F"/>
    <w:rsid w:val="009D5B9B"/>
    <w:rsid w:val="009E149F"/>
    <w:rsid w:val="009E2DFC"/>
    <w:rsid w:val="009F0980"/>
    <w:rsid w:val="009F6D85"/>
    <w:rsid w:val="009F7D56"/>
    <w:rsid w:val="00A03457"/>
    <w:rsid w:val="00A047BE"/>
    <w:rsid w:val="00A06D58"/>
    <w:rsid w:val="00A06F9C"/>
    <w:rsid w:val="00A1349C"/>
    <w:rsid w:val="00A147B4"/>
    <w:rsid w:val="00A15455"/>
    <w:rsid w:val="00A176F0"/>
    <w:rsid w:val="00A24BC2"/>
    <w:rsid w:val="00A3685B"/>
    <w:rsid w:val="00A36D63"/>
    <w:rsid w:val="00A37B3B"/>
    <w:rsid w:val="00A4495C"/>
    <w:rsid w:val="00A45434"/>
    <w:rsid w:val="00A50A73"/>
    <w:rsid w:val="00A53319"/>
    <w:rsid w:val="00A534C4"/>
    <w:rsid w:val="00A60E85"/>
    <w:rsid w:val="00A63AEB"/>
    <w:rsid w:val="00A64432"/>
    <w:rsid w:val="00A675F3"/>
    <w:rsid w:val="00A74614"/>
    <w:rsid w:val="00A750FF"/>
    <w:rsid w:val="00A871D8"/>
    <w:rsid w:val="00A87BC4"/>
    <w:rsid w:val="00A93DE3"/>
    <w:rsid w:val="00A94409"/>
    <w:rsid w:val="00A94A36"/>
    <w:rsid w:val="00A96053"/>
    <w:rsid w:val="00AA64CB"/>
    <w:rsid w:val="00AB7150"/>
    <w:rsid w:val="00AB7A36"/>
    <w:rsid w:val="00AB7FEE"/>
    <w:rsid w:val="00AD68E6"/>
    <w:rsid w:val="00AE081F"/>
    <w:rsid w:val="00AE0EBE"/>
    <w:rsid w:val="00AE4049"/>
    <w:rsid w:val="00AE4B2A"/>
    <w:rsid w:val="00AE632D"/>
    <w:rsid w:val="00AE7C9F"/>
    <w:rsid w:val="00AF22E4"/>
    <w:rsid w:val="00AF47C8"/>
    <w:rsid w:val="00AF56A8"/>
    <w:rsid w:val="00B00E7D"/>
    <w:rsid w:val="00B0146B"/>
    <w:rsid w:val="00B038F4"/>
    <w:rsid w:val="00B07D50"/>
    <w:rsid w:val="00B11DC1"/>
    <w:rsid w:val="00B16D3C"/>
    <w:rsid w:val="00B205A5"/>
    <w:rsid w:val="00B21EBE"/>
    <w:rsid w:val="00B30603"/>
    <w:rsid w:val="00B30EAA"/>
    <w:rsid w:val="00B31336"/>
    <w:rsid w:val="00B313BF"/>
    <w:rsid w:val="00B35380"/>
    <w:rsid w:val="00B354AA"/>
    <w:rsid w:val="00B41163"/>
    <w:rsid w:val="00B42765"/>
    <w:rsid w:val="00B43C52"/>
    <w:rsid w:val="00B5318F"/>
    <w:rsid w:val="00B57594"/>
    <w:rsid w:val="00B63222"/>
    <w:rsid w:val="00B66FCA"/>
    <w:rsid w:val="00B67B67"/>
    <w:rsid w:val="00B71573"/>
    <w:rsid w:val="00B73721"/>
    <w:rsid w:val="00B73EB8"/>
    <w:rsid w:val="00B80719"/>
    <w:rsid w:val="00B841A1"/>
    <w:rsid w:val="00B845E7"/>
    <w:rsid w:val="00B848D7"/>
    <w:rsid w:val="00B84F88"/>
    <w:rsid w:val="00B858ED"/>
    <w:rsid w:val="00B85C32"/>
    <w:rsid w:val="00B94A1D"/>
    <w:rsid w:val="00BA3528"/>
    <w:rsid w:val="00BA36E3"/>
    <w:rsid w:val="00BB0818"/>
    <w:rsid w:val="00BB1176"/>
    <w:rsid w:val="00BB3937"/>
    <w:rsid w:val="00BC1E2C"/>
    <w:rsid w:val="00BC4F7B"/>
    <w:rsid w:val="00BC74AC"/>
    <w:rsid w:val="00BD4AA3"/>
    <w:rsid w:val="00BE37F2"/>
    <w:rsid w:val="00BE69F6"/>
    <w:rsid w:val="00BF18C2"/>
    <w:rsid w:val="00BF2B03"/>
    <w:rsid w:val="00BF5BAE"/>
    <w:rsid w:val="00BF5ECE"/>
    <w:rsid w:val="00BF6A9D"/>
    <w:rsid w:val="00C02519"/>
    <w:rsid w:val="00C07FC9"/>
    <w:rsid w:val="00C1133B"/>
    <w:rsid w:val="00C124E6"/>
    <w:rsid w:val="00C13485"/>
    <w:rsid w:val="00C146BD"/>
    <w:rsid w:val="00C270E1"/>
    <w:rsid w:val="00C3220F"/>
    <w:rsid w:val="00C40C6C"/>
    <w:rsid w:val="00C4201D"/>
    <w:rsid w:val="00C4273D"/>
    <w:rsid w:val="00C45E70"/>
    <w:rsid w:val="00C543B0"/>
    <w:rsid w:val="00C62170"/>
    <w:rsid w:val="00C70E6F"/>
    <w:rsid w:val="00C737D5"/>
    <w:rsid w:val="00C753D3"/>
    <w:rsid w:val="00C755BB"/>
    <w:rsid w:val="00C77DBE"/>
    <w:rsid w:val="00C819DE"/>
    <w:rsid w:val="00C872FD"/>
    <w:rsid w:val="00C93F7A"/>
    <w:rsid w:val="00CA288B"/>
    <w:rsid w:val="00CA673E"/>
    <w:rsid w:val="00CA6C3D"/>
    <w:rsid w:val="00CB5E24"/>
    <w:rsid w:val="00CB62CA"/>
    <w:rsid w:val="00CC3470"/>
    <w:rsid w:val="00CD3CEF"/>
    <w:rsid w:val="00CE1610"/>
    <w:rsid w:val="00CE363A"/>
    <w:rsid w:val="00CE5445"/>
    <w:rsid w:val="00CE6724"/>
    <w:rsid w:val="00CE7837"/>
    <w:rsid w:val="00CF1D9E"/>
    <w:rsid w:val="00CF34E3"/>
    <w:rsid w:val="00CF5D2E"/>
    <w:rsid w:val="00D00B0E"/>
    <w:rsid w:val="00D146E8"/>
    <w:rsid w:val="00D151A6"/>
    <w:rsid w:val="00D20EDF"/>
    <w:rsid w:val="00D22F66"/>
    <w:rsid w:val="00D25117"/>
    <w:rsid w:val="00D25985"/>
    <w:rsid w:val="00D359C1"/>
    <w:rsid w:val="00D36015"/>
    <w:rsid w:val="00D407D5"/>
    <w:rsid w:val="00D412C5"/>
    <w:rsid w:val="00D43CC0"/>
    <w:rsid w:val="00D44865"/>
    <w:rsid w:val="00D51B2E"/>
    <w:rsid w:val="00D51E51"/>
    <w:rsid w:val="00D61292"/>
    <w:rsid w:val="00D63E28"/>
    <w:rsid w:val="00D66137"/>
    <w:rsid w:val="00D736EC"/>
    <w:rsid w:val="00D774E8"/>
    <w:rsid w:val="00D83001"/>
    <w:rsid w:val="00D85C9E"/>
    <w:rsid w:val="00DB113E"/>
    <w:rsid w:val="00DB32F5"/>
    <w:rsid w:val="00DC14A5"/>
    <w:rsid w:val="00DC2DC5"/>
    <w:rsid w:val="00DC766E"/>
    <w:rsid w:val="00DD246B"/>
    <w:rsid w:val="00DE1832"/>
    <w:rsid w:val="00DF0594"/>
    <w:rsid w:val="00E00EDD"/>
    <w:rsid w:val="00E011F4"/>
    <w:rsid w:val="00E03623"/>
    <w:rsid w:val="00E0448F"/>
    <w:rsid w:val="00E06802"/>
    <w:rsid w:val="00E06C5D"/>
    <w:rsid w:val="00E13F41"/>
    <w:rsid w:val="00E14CBE"/>
    <w:rsid w:val="00E168A0"/>
    <w:rsid w:val="00E251B3"/>
    <w:rsid w:val="00E325F8"/>
    <w:rsid w:val="00E362DF"/>
    <w:rsid w:val="00E4171E"/>
    <w:rsid w:val="00E50ED2"/>
    <w:rsid w:val="00E65A99"/>
    <w:rsid w:val="00E67234"/>
    <w:rsid w:val="00E70A9A"/>
    <w:rsid w:val="00E735AF"/>
    <w:rsid w:val="00E74055"/>
    <w:rsid w:val="00E74A63"/>
    <w:rsid w:val="00E75853"/>
    <w:rsid w:val="00E82884"/>
    <w:rsid w:val="00E86634"/>
    <w:rsid w:val="00E905BE"/>
    <w:rsid w:val="00E9108D"/>
    <w:rsid w:val="00EA0485"/>
    <w:rsid w:val="00EA5996"/>
    <w:rsid w:val="00EA66ED"/>
    <w:rsid w:val="00EB02B9"/>
    <w:rsid w:val="00EB2C71"/>
    <w:rsid w:val="00ED0165"/>
    <w:rsid w:val="00ED296C"/>
    <w:rsid w:val="00EE39A9"/>
    <w:rsid w:val="00EE49D8"/>
    <w:rsid w:val="00EE5785"/>
    <w:rsid w:val="00EE6750"/>
    <w:rsid w:val="00EF1F88"/>
    <w:rsid w:val="00EF278D"/>
    <w:rsid w:val="00EF41DD"/>
    <w:rsid w:val="00F009DF"/>
    <w:rsid w:val="00F03838"/>
    <w:rsid w:val="00F12F4C"/>
    <w:rsid w:val="00F15958"/>
    <w:rsid w:val="00F20070"/>
    <w:rsid w:val="00F2115A"/>
    <w:rsid w:val="00F236CF"/>
    <w:rsid w:val="00F27EC1"/>
    <w:rsid w:val="00F310AB"/>
    <w:rsid w:val="00F40486"/>
    <w:rsid w:val="00F44C5F"/>
    <w:rsid w:val="00F4623B"/>
    <w:rsid w:val="00F46817"/>
    <w:rsid w:val="00F50F65"/>
    <w:rsid w:val="00F5520E"/>
    <w:rsid w:val="00F55CAB"/>
    <w:rsid w:val="00F77EE4"/>
    <w:rsid w:val="00F827E9"/>
    <w:rsid w:val="00F83BF4"/>
    <w:rsid w:val="00F83C8F"/>
    <w:rsid w:val="00F9023C"/>
    <w:rsid w:val="00F930CF"/>
    <w:rsid w:val="00F974EE"/>
    <w:rsid w:val="00FA0BCB"/>
    <w:rsid w:val="00FA3844"/>
    <w:rsid w:val="00FA5ACC"/>
    <w:rsid w:val="00FA5CDE"/>
    <w:rsid w:val="00FB60CB"/>
    <w:rsid w:val="00FC131A"/>
    <w:rsid w:val="00FC16B4"/>
    <w:rsid w:val="00FC4D30"/>
    <w:rsid w:val="00FC526A"/>
    <w:rsid w:val="00FC54F8"/>
    <w:rsid w:val="00FC6B81"/>
    <w:rsid w:val="00FC6CC2"/>
    <w:rsid w:val="00FC7B5B"/>
    <w:rsid w:val="00FC7B67"/>
    <w:rsid w:val="00FD71DB"/>
    <w:rsid w:val="00FE0DE6"/>
    <w:rsid w:val="00FE3703"/>
    <w:rsid w:val="00FF4284"/>
    <w:rsid w:val="00FF4560"/>
    <w:rsid w:val="00FF4CC3"/>
    <w:rsid w:val="00FF4E14"/>
    <w:rsid w:val="00FF57B0"/>
    <w:rsid w:val="0130821D"/>
    <w:rsid w:val="0158D793"/>
    <w:rsid w:val="01B2D85F"/>
    <w:rsid w:val="02FE60A1"/>
    <w:rsid w:val="03752901"/>
    <w:rsid w:val="04890ED1"/>
    <w:rsid w:val="05217C7B"/>
    <w:rsid w:val="05D57CBA"/>
    <w:rsid w:val="06645CCA"/>
    <w:rsid w:val="07942E90"/>
    <w:rsid w:val="07BE0DD6"/>
    <w:rsid w:val="07F73F89"/>
    <w:rsid w:val="0AEEDFB0"/>
    <w:rsid w:val="0B1AF46F"/>
    <w:rsid w:val="0B73195C"/>
    <w:rsid w:val="0B925D95"/>
    <w:rsid w:val="0BBF4064"/>
    <w:rsid w:val="0E2E44A9"/>
    <w:rsid w:val="0EFB2118"/>
    <w:rsid w:val="0F6FBB7D"/>
    <w:rsid w:val="101B9967"/>
    <w:rsid w:val="102B117A"/>
    <w:rsid w:val="10B6570F"/>
    <w:rsid w:val="10C64910"/>
    <w:rsid w:val="10D17ABB"/>
    <w:rsid w:val="11EFE9C3"/>
    <w:rsid w:val="1227FBE7"/>
    <w:rsid w:val="125B2828"/>
    <w:rsid w:val="15977B84"/>
    <w:rsid w:val="15D4EAB3"/>
    <w:rsid w:val="172D4A41"/>
    <w:rsid w:val="17415A88"/>
    <w:rsid w:val="176988E1"/>
    <w:rsid w:val="17D8C2DE"/>
    <w:rsid w:val="192F1DFF"/>
    <w:rsid w:val="19B88DEE"/>
    <w:rsid w:val="1A1143F8"/>
    <w:rsid w:val="1AC6DA9D"/>
    <w:rsid w:val="1B19CEC4"/>
    <w:rsid w:val="1C4C04F8"/>
    <w:rsid w:val="1C8AD49F"/>
    <w:rsid w:val="1DD0BFA8"/>
    <w:rsid w:val="1DFF5D92"/>
    <w:rsid w:val="1FA036D0"/>
    <w:rsid w:val="21A560FF"/>
    <w:rsid w:val="21EC02BA"/>
    <w:rsid w:val="22902474"/>
    <w:rsid w:val="22AC9EBC"/>
    <w:rsid w:val="2428A022"/>
    <w:rsid w:val="24FE4DDD"/>
    <w:rsid w:val="254680A1"/>
    <w:rsid w:val="26E41CEA"/>
    <w:rsid w:val="2807E87E"/>
    <w:rsid w:val="28625078"/>
    <w:rsid w:val="2863F2E2"/>
    <w:rsid w:val="2A9A854F"/>
    <w:rsid w:val="2B242C0F"/>
    <w:rsid w:val="2B8D80B3"/>
    <w:rsid w:val="2BD64AE4"/>
    <w:rsid w:val="2DE82643"/>
    <w:rsid w:val="2F43524E"/>
    <w:rsid w:val="307FC8FF"/>
    <w:rsid w:val="347F1665"/>
    <w:rsid w:val="35168E34"/>
    <w:rsid w:val="3702F885"/>
    <w:rsid w:val="3869648C"/>
    <w:rsid w:val="387E302D"/>
    <w:rsid w:val="39A8DE86"/>
    <w:rsid w:val="39EE0E44"/>
    <w:rsid w:val="3AAC06A7"/>
    <w:rsid w:val="3AE43AE7"/>
    <w:rsid w:val="3AF057B9"/>
    <w:rsid w:val="3B71957E"/>
    <w:rsid w:val="3C0B498D"/>
    <w:rsid w:val="3C6DDA4E"/>
    <w:rsid w:val="3D8846A5"/>
    <w:rsid w:val="3DF01F50"/>
    <w:rsid w:val="3E0705EE"/>
    <w:rsid w:val="3E34F580"/>
    <w:rsid w:val="3EEDF16E"/>
    <w:rsid w:val="4321DA4C"/>
    <w:rsid w:val="43AD60EC"/>
    <w:rsid w:val="443222B1"/>
    <w:rsid w:val="44697442"/>
    <w:rsid w:val="44E63F7E"/>
    <w:rsid w:val="4557F6E3"/>
    <w:rsid w:val="45B32657"/>
    <w:rsid w:val="461E1FAD"/>
    <w:rsid w:val="464FFEB9"/>
    <w:rsid w:val="4702DF34"/>
    <w:rsid w:val="470DDA15"/>
    <w:rsid w:val="473E3D07"/>
    <w:rsid w:val="483CA79D"/>
    <w:rsid w:val="4A093247"/>
    <w:rsid w:val="4A18968B"/>
    <w:rsid w:val="4B026C47"/>
    <w:rsid w:val="4BB29543"/>
    <w:rsid w:val="4C1E7CF1"/>
    <w:rsid w:val="4C46F897"/>
    <w:rsid w:val="4CFF6564"/>
    <w:rsid w:val="4D090EE5"/>
    <w:rsid w:val="4D20CA2B"/>
    <w:rsid w:val="4DC3D780"/>
    <w:rsid w:val="4DC59B19"/>
    <w:rsid w:val="4DCDCCAE"/>
    <w:rsid w:val="4F016A4B"/>
    <w:rsid w:val="4F32E1DC"/>
    <w:rsid w:val="502B2C93"/>
    <w:rsid w:val="504720C7"/>
    <w:rsid w:val="50BD87BF"/>
    <w:rsid w:val="5122FFC3"/>
    <w:rsid w:val="51790894"/>
    <w:rsid w:val="52585E4D"/>
    <w:rsid w:val="53212C67"/>
    <w:rsid w:val="54160B35"/>
    <w:rsid w:val="54AC8C89"/>
    <w:rsid w:val="55E6A232"/>
    <w:rsid w:val="573224CD"/>
    <w:rsid w:val="579258FD"/>
    <w:rsid w:val="57AADF64"/>
    <w:rsid w:val="57B53FF0"/>
    <w:rsid w:val="59E9F798"/>
    <w:rsid w:val="5C8D27CE"/>
    <w:rsid w:val="5CA74A0C"/>
    <w:rsid w:val="5CD8D311"/>
    <w:rsid w:val="5E1A5FEE"/>
    <w:rsid w:val="5E9558DC"/>
    <w:rsid w:val="5F7180AC"/>
    <w:rsid w:val="6125E062"/>
    <w:rsid w:val="613B0B57"/>
    <w:rsid w:val="6235B741"/>
    <w:rsid w:val="624FC94F"/>
    <w:rsid w:val="63DC655C"/>
    <w:rsid w:val="63F79941"/>
    <w:rsid w:val="6439F59B"/>
    <w:rsid w:val="64E7559E"/>
    <w:rsid w:val="657A3CE4"/>
    <w:rsid w:val="660A5208"/>
    <w:rsid w:val="661AC284"/>
    <w:rsid w:val="667B10D2"/>
    <w:rsid w:val="66CE96F8"/>
    <w:rsid w:val="675124F9"/>
    <w:rsid w:val="675D718A"/>
    <w:rsid w:val="680B87F3"/>
    <w:rsid w:val="687948FE"/>
    <w:rsid w:val="6954CD2C"/>
    <w:rsid w:val="6981FE4B"/>
    <w:rsid w:val="6C6F7057"/>
    <w:rsid w:val="6CBAA83A"/>
    <w:rsid w:val="6E76B9C5"/>
    <w:rsid w:val="6F2D7125"/>
    <w:rsid w:val="70B11DE6"/>
    <w:rsid w:val="70BB9443"/>
    <w:rsid w:val="71FAD741"/>
    <w:rsid w:val="7264CF90"/>
    <w:rsid w:val="728D9194"/>
    <w:rsid w:val="72B5AECD"/>
    <w:rsid w:val="72D8BCB5"/>
    <w:rsid w:val="72E74A04"/>
    <w:rsid w:val="7457CA7D"/>
    <w:rsid w:val="74FB89E8"/>
    <w:rsid w:val="7510C0C7"/>
    <w:rsid w:val="759C6B65"/>
    <w:rsid w:val="76D19E08"/>
    <w:rsid w:val="77498355"/>
    <w:rsid w:val="776B71CA"/>
    <w:rsid w:val="77CCEB37"/>
    <w:rsid w:val="77E88737"/>
    <w:rsid w:val="79D379E7"/>
    <w:rsid w:val="7AA3731E"/>
    <w:rsid w:val="7B120D6E"/>
    <w:rsid w:val="7BA11DA4"/>
    <w:rsid w:val="7C389CE1"/>
    <w:rsid w:val="7C603945"/>
    <w:rsid w:val="7C965314"/>
    <w:rsid w:val="7CCF3D33"/>
    <w:rsid w:val="7CF3268C"/>
    <w:rsid w:val="7EF50A7B"/>
    <w:rsid w:val="7F29861E"/>
    <w:rsid w:val="7F56D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7EEE"/>
  <w15:chartTrackingRefBased/>
  <w15:docId w15:val="{8211E3CD-2114-46B7-BAC6-C1E096516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20F"/>
    <w:pPr>
      <w:keepNext/>
      <w:keepLines/>
      <w:spacing w:before="360" w:after="80"/>
      <w:jc w:val="center"/>
      <w:outlineLvl w:val="0"/>
    </w:pPr>
    <w:rPr>
      <w:rFonts w:asciiTheme="majorHAnsi" w:eastAsiaTheme="majorEastAsia" w:hAnsiTheme="majorHAnsi" w:cstheme="majorBidi"/>
      <w:b/>
      <w:color w:val="C00000"/>
      <w:sz w:val="40"/>
      <w:szCs w:val="40"/>
    </w:rPr>
  </w:style>
  <w:style w:type="paragraph" w:styleId="Heading2">
    <w:name w:val="heading 2"/>
    <w:basedOn w:val="Normal"/>
    <w:next w:val="Normal"/>
    <w:link w:val="Heading2Char"/>
    <w:uiPriority w:val="9"/>
    <w:unhideWhenUsed/>
    <w:qFormat/>
    <w:rsid w:val="00C3220F"/>
    <w:pPr>
      <w:keepNext/>
      <w:keepLines/>
      <w:spacing w:before="160" w:after="80"/>
      <w:jc w:val="center"/>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32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32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20F"/>
    <w:rPr>
      <w:rFonts w:asciiTheme="majorHAnsi" w:eastAsiaTheme="majorEastAsia" w:hAnsiTheme="majorHAnsi" w:cstheme="majorBidi"/>
      <w:b/>
      <w:color w:val="C00000"/>
      <w:sz w:val="40"/>
      <w:szCs w:val="40"/>
    </w:rPr>
  </w:style>
  <w:style w:type="character" w:customStyle="1" w:styleId="Heading2Char">
    <w:name w:val="Heading 2 Char"/>
    <w:basedOn w:val="DefaultParagraphFont"/>
    <w:link w:val="Heading2"/>
    <w:uiPriority w:val="9"/>
    <w:rsid w:val="00C32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32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32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20F"/>
    <w:rPr>
      <w:rFonts w:eastAsiaTheme="majorEastAsia" w:cstheme="majorBidi"/>
      <w:color w:val="272727" w:themeColor="text1" w:themeTint="D8"/>
    </w:rPr>
  </w:style>
  <w:style w:type="paragraph" w:styleId="Title">
    <w:name w:val="Title"/>
    <w:basedOn w:val="Normal"/>
    <w:next w:val="Normal"/>
    <w:link w:val="TitleChar"/>
    <w:uiPriority w:val="10"/>
    <w:qFormat/>
    <w:rsid w:val="00C32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20F"/>
    <w:pPr>
      <w:spacing w:before="160"/>
      <w:jc w:val="center"/>
    </w:pPr>
    <w:rPr>
      <w:i/>
      <w:iCs/>
      <w:color w:val="404040" w:themeColor="text1" w:themeTint="BF"/>
    </w:rPr>
  </w:style>
  <w:style w:type="character" w:customStyle="1" w:styleId="QuoteChar">
    <w:name w:val="Quote Char"/>
    <w:basedOn w:val="DefaultParagraphFont"/>
    <w:link w:val="Quote"/>
    <w:uiPriority w:val="29"/>
    <w:rsid w:val="00C3220F"/>
    <w:rPr>
      <w:i/>
      <w:iCs/>
      <w:color w:val="404040" w:themeColor="text1" w:themeTint="BF"/>
    </w:rPr>
  </w:style>
  <w:style w:type="paragraph" w:styleId="ListParagraph">
    <w:name w:val="List Paragraph"/>
    <w:basedOn w:val="Normal"/>
    <w:uiPriority w:val="34"/>
    <w:qFormat/>
    <w:rsid w:val="00C3220F"/>
    <w:pPr>
      <w:ind w:left="720"/>
      <w:contextualSpacing/>
    </w:pPr>
  </w:style>
  <w:style w:type="character" w:styleId="IntenseEmphasis">
    <w:name w:val="Intense Emphasis"/>
    <w:basedOn w:val="DefaultParagraphFont"/>
    <w:uiPriority w:val="21"/>
    <w:qFormat/>
    <w:rsid w:val="00C3220F"/>
    <w:rPr>
      <w:i/>
      <w:iCs/>
      <w:color w:val="0F4761" w:themeColor="accent1" w:themeShade="BF"/>
    </w:rPr>
  </w:style>
  <w:style w:type="paragraph" w:styleId="IntenseQuote">
    <w:name w:val="Intense Quote"/>
    <w:basedOn w:val="Normal"/>
    <w:next w:val="Normal"/>
    <w:link w:val="IntenseQuoteChar"/>
    <w:uiPriority w:val="30"/>
    <w:qFormat/>
    <w:rsid w:val="00C32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20F"/>
    <w:rPr>
      <w:i/>
      <w:iCs/>
      <w:color w:val="0F4761" w:themeColor="accent1" w:themeShade="BF"/>
    </w:rPr>
  </w:style>
  <w:style w:type="character" w:styleId="IntenseReference">
    <w:name w:val="Intense Reference"/>
    <w:basedOn w:val="DefaultParagraphFont"/>
    <w:uiPriority w:val="32"/>
    <w:qFormat/>
    <w:rsid w:val="00C3220F"/>
    <w:rPr>
      <w:b/>
      <w:bCs/>
      <w:smallCaps/>
      <w:color w:val="0F4761" w:themeColor="accent1" w:themeShade="BF"/>
      <w:spacing w:val="5"/>
    </w:rPr>
  </w:style>
  <w:style w:type="paragraph" w:styleId="NoSpacing">
    <w:name w:val="No Spacing"/>
    <w:autoRedefine/>
    <w:uiPriority w:val="1"/>
    <w:qFormat/>
    <w:rsid w:val="00374D1A"/>
    <w:pPr>
      <w:spacing w:after="0" w:line="240" w:lineRule="auto"/>
    </w:pPr>
    <w:rPr>
      <w:rFonts w:ascii="Arial" w:hAnsi="Arial" w:cs="Arial"/>
    </w:rPr>
  </w:style>
  <w:style w:type="character" w:customStyle="1" w:styleId="normaltextrun">
    <w:name w:val="normaltextrun"/>
    <w:basedOn w:val="DefaultParagraphFont"/>
    <w:rsid w:val="00DB32F5"/>
  </w:style>
  <w:style w:type="character" w:styleId="CommentReference">
    <w:name w:val="annotation reference"/>
    <w:basedOn w:val="DefaultParagraphFont"/>
    <w:uiPriority w:val="99"/>
    <w:semiHidden/>
    <w:unhideWhenUsed/>
    <w:rsid w:val="003E73AB"/>
    <w:rPr>
      <w:sz w:val="16"/>
      <w:szCs w:val="16"/>
    </w:rPr>
  </w:style>
  <w:style w:type="table" w:styleId="TableGrid">
    <w:name w:val="Table Grid"/>
    <w:basedOn w:val="TableNormal"/>
    <w:uiPriority w:val="39"/>
    <w:rsid w:val="002265B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DefaultParagraphFont"/>
    <w:rsid w:val="00C4273D"/>
  </w:style>
  <w:style w:type="character" w:styleId="Hyperlink">
    <w:name w:val="Hyperlink"/>
    <w:basedOn w:val="DefaultParagraphFont"/>
    <w:uiPriority w:val="99"/>
    <w:unhideWhenUsed/>
    <w:rsid w:val="001B6486"/>
    <w:rPr>
      <w:color w:val="467886" w:themeColor="hyperlink"/>
      <w:u w:val="single"/>
    </w:rPr>
  </w:style>
  <w:style w:type="character" w:styleId="UnresolvedMention">
    <w:name w:val="Unresolved Mention"/>
    <w:basedOn w:val="DefaultParagraphFont"/>
    <w:uiPriority w:val="99"/>
    <w:semiHidden/>
    <w:unhideWhenUsed/>
    <w:rsid w:val="001B6486"/>
    <w:rPr>
      <w:color w:val="605E5C"/>
      <w:shd w:val="clear" w:color="auto" w:fill="E1DFDD"/>
    </w:rPr>
  </w:style>
  <w:style w:type="paragraph" w:styleId="CommentText">
    <w:name w:val="annotation text"/>
    <w:basedOn w:val="Normal"/>
    <w:link w:val="CommentTextChar"/>
    <w:uiPriority w:val="99"/>
    <w:unhideWhenUsed/>
    <w:rsid w:val="00300E02"/>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00E02"/>
    <w:rPr>
      <w:kern w:val="0"/>
      <w:sz w:val="20"/>
      <w:szCs w:val="20"/>
      <w14:ligatures w14:val="none"/>
    </w:rPr>
  </w:style>
  <w:style w:type="paragraph" w:customStyle="1" w:styleId="paragraph">
    <w:name w:val="paragraph"/>
    <w:basedOn w:val="Normal"/>
    <w:rsid w:val="00300E0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TOCHeading">
    <w:name w:val="TOC Heading"/>
    <w:basedOn w:val="Heading1"/>
    <w:next w:val="Normal"/>
    <w:uiPriority w:val="39"/>
    <w:unhideWhenUsed/>
    <w:qFormat/>
    <w:rsid w:val="00B16D3C"/>
    <w:pPr>
      <w:spacing w:before="240" w:after="0" w:line="259" w:lineRule="auto"/>
      <w:jc w:val="left"/>
      <w:outlineLvl w:val="9"/>
    </w:pPr>
    <w:rPr>
      <w:b w:val="0"/>
      <w:color w:val="0F4761" w:themeColor="accent1" w:themeShade="BF"/>
      <w:kern w:val="0"/>
      <w:sz w:val="32"/>
      <w:szCs w:val="32"/>
      <w:lang w:eastAsia="en-GB"/>
      <w14:ligatures w14:val="none"/>
    </w:rPr>
  </w:style>
  <w:style w:type="paragraph" w:styleId="TOC1">
    <w:name w:val="toc 1"/>
    <w:basedOn w:val="Normal"/>
    <w:next w:val="Normal"/>
    <w:autoRedefine/>
    <w:uiPriority w:val="39"/>
    <w:unhideWhenUsed/>
    <w:rsid w:val="00B16D3C"/>
    <w:pPr>
      <w:spacing w:after="100"/>
    </w:pPr>
  </w:style>
  <w:style w:type="paragraph" w:styleId="TOC2">
    <w:name w:val="toc 2"/>
    <w:basedOn w:val="Normal"/>
    <w:next w:val="Normal"/>
    <w:autoRedefine/>
    <w:uiPriority w:val="39"/>
    <w:unhideWhenUsed/>
    <w:rsid w:val="00B16D3C"/>
    <w:pPr>
      <w:spacing w:after="100"/>
      <w:ind w:left="240"/>
    </w:pPr>
  </w:style>
  <w:style w:type="paragraph" w:styleId="TOC3">
    <w:name w:val="toc 3"/>
    <w:basedOn w:val="Normal"/>
    <w:next w:val="Normal"/>
    <w:autoRedefine/>
    <w:uiPriority w:val="39"/>
    <w:unhideWhenUsed/>
    <w:rsid w:val="00B16D3C"/>
    <w:pPr>
      <w:spacing w:after="100"/>
      <w:ind w:left="480"/>
    </w:pPr>
  </w:style>
  <w:style w:type="paragraph" w:styleId="Header">
    <w:name w:val="header"/>
    <w:aliases w:val="Rdg Header"/>
    <w:basedOn w:val="Normal"/>
    <w:link w:val="HeaderChar"/>
    <w:uiPriority w:val="99"/>
    <w:unhideWhenUsed/>
    <w:rsid w:val="00E65A99"/>
    <w:pPr>
      <w:tabs>
        <w:tab w:val="center" w:pos="4513"/>
        <w:tab w:val="right" w:pos="9026"/>
      </w:tabs>
      <w:spacing w:after="0" w:line="240" w:lineRule="auto"/>
    </w:pPr>
  </w:style>
  <w:style w:type="character" w:customStyle="1" w:styleId="HeaderChar">
    <w:name w:val="Header Char"/>
    <w:aliases w:val="Rdg Header Char"/>
    <w:basedOn w:val="DefaultParagraphFont"/>
    <w:link w:val="Header"/>
    <w:uiPriority w:val="99"/>
    <w:rsid w:val="00E65A99"/>
  </w:style>
  <w:style w:type="paragraph" w:styleId="Footer">
    <w:name w:val="footer"/>
    <w:basedOn w:val="Normal"/>
    <w:link w:val="FooterChar"/>
    <w:uiPriority w:val="99"/>
    <w:unhideWhenUsed/>
    <w:rsid w:val="00E65A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5A99"/>
  </w:style>
  <w:style w:type="paragraph" w:customStyle="1" w:styleId="UoRUnitname">
    <w:name w:val="UoR Unit name"/>
    <w:autoRedefine/>
    <w:rsid w:val="00E82884"/>
    <w:pPr>
      <w:spacing w:after="0" w:line="300" w:lineRule="exact"/>
    </w:pPr>
    <w:rPr>
      <w:rFonts w:ascii="Arial" w:eastAsia="Times New Roman" w:hAnsi="Arial" w:cs="Times New Roman"/>
      <w:b/>
      <w:kern w:val="0"/>
      <w14:ligatures w14:val="none"/>
    </w:rPr>
  </w:style>
  <w:style w:type="paragraph" w:styleId="Revision">
    <w:name w:val="Revision"/>
    <w:hidden/>
    <w:uiPriority w:val="99"/>
    <w:semiHidden/>
    <w:rsid w:val="00D66137"/>
    <w:pPr>
      <w:spacing w:after="0" w:line="240" w:lineRule="auto"/>
    </w:pPr>
  </w:style>
  <w:style w:type="paragraph" w:styleId="CommentSubject">
    <w:name w:val="annotation subject"/>
    <w:basedOn w:val="CommentText"/>
    <w:next w:val="CommentText"/>
    <w:link w:val="CommentSubjectChar"/>
    <w:uiPriority w:val="99"/>
    <w:semiHidden/>
    <w:unhideWhenUsed/>
    <w:rsid w:val="00A147B4"/>
    <w:rPr>
      <w:b/>
      <w:bCs/>
      <w:kern w:val="2"/>
      <w14:ligatures w14:val="standardContextual"/>
    </w:rPr>
  </w:style>
  <w:style w:type="character" w:customStyle="1" w:styleId="CommentSubjectChar">
    <w:name w:val="Comment Subject Char"/>
    <w:basedOn w:val="CommentTextChar"/>
    <w:link w:val="CommentSubject"/>
    <w:uiPriority w:val="99"/>
    <w:semiHidden/>
    <w:rsid w:val="00A147B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52126">
      <w:bodyDiv w:val="1"/>
      <w:marLeft w:val="0"/>
      <w:marRight w:val="0"/>
      <w:marTop w:val="0"/>
      <w:marBottom w:val="0"/>
      <w:divBdr>
        <w:top w:val="none" w:sz="0" w:space="0" w:color="auto"/>
        <w:left w:val="none" w:sz="0" w:space="0" w:color="auto"/>
        <w:bottom w:val="none" w:sz="0" w:space="0" w:color="auto"/>
        <w:right w:val="none" w:sz="0" w:space="0" w:color="auto"/>
      </w:divBdr>
    </w:div>
    <w:div w:id="169220752">
      <w:bodyDiv w:val="1"/>
      <w:marLeft w:val="0"/>
      <w:marRight w:val="0"/>
      <w:marTop w:val="0"/>
      <w:marBottom w:val="0"/>
      <w:divBdr>
        <w:top w:val="none" w:sz="0" w:space="0" w:color="auto"/>
        <w:left w:val="none" w:sz="0" w:space="0" w:color="auto"/>
        <w:bottom w:val="none" w:sz="0" w:space="0" w:color="auto"/>
        <w:right w:val="none" w:sz="0" w:space="0" w:color="auto"/>
      </w:divBdr>
    </w:div>
    <w:div w:id="222713509">
      <w:bodyDiv w:val="1"/>
      <w:marLeft w:val="0"/>
      <w:marRight w:val="0"/>
      <w:marTop w:val="0"/>
      <w:marBottom w:val="0"/>
      <w:divBdr>
        <w:top w:val="none" w:sz="0" w:space="0" w:color="auto"/>
        <w:left w:val="none" w:sz="0" w:space="0" w:color="auto"/>
        <w:bottom w:val="none" w:sz="0" w:space="0" w:color="auto"/>
        <w:right w:val="none" w:sz="0" w:space="0" w:color="auto"/>
      </w:divBdr>
    </w:div>
    <w:div w:id="79247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so.org.uk/intervention/tutoring-pre-entry/"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ducationendowmentfoundation.org.uk/support-for-schools/making-a-difference-with-effective-tutorin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3039F55DC3BC4AA3F2E371230C76AA" ma:contentTypeVersion="11" ma:contentTypeDescription="Create a new document." ma:contentTypeScope="" ma:versionID="c44c9298d428bdb2164de22de6e7d5d7">
  <xsd:schema xmlns:xsd="http://www.w3.org/2001/XMLSchema" xmlns:xs="http://www.w3.org/2001/XMLSchema" xmlns:p="http://schemas.microsoft.com/office/2006/metadata/properties" xmlns:ns2="e05ba953-cf8b-491d-ba87-91e954c227bd" xmlns:ns3="fc659945-eb9d-43c6-af69-4bc52b944968" targetNamespace="http://schemas.microsoft.com/office/2006/metadata/properties" ma:root="true" ma:fieldsID="52fadc10e900050477a746d781976c11" ns2:_="" ns3:_="">
    <xsd:import namespace="e05ba953-cf8b-491d-ba87-91e954c227bd"/>
    <xsd:import namespace="fc659945-eb9d-43c6-af69-4bc52b9449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ba953-cf8b-491d-ba87-91e954c227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8cd521b-c766-495a-bf72-da9be8cb7f8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659945-eb9d-43c6-af69-4bc52b94496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9b4aefc-7b5b-47c3-b763-1c1dd61db514}" ma:internalName="TaxCatchAll" ma:showField="CatchAllData" ma:web="fc659945-eb9d-43c6-af69-4bc52b9449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c659945-eb9d-43c6-af69-4bc52b944968" xsi:nil="true"/>
    <lcf76f155ced4ddcb4097134ff3c332f xmlns="e05ba953-cf8b-491d-ba87-91e954c227b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4C423-7B89-4030-B25D-EDCE68934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ba953-cf8b-491d-ba87-91e954c227bd"/>
    <ds:schemaRef ds:uri="fc659945-eb9d-43c6-af69-4bc52b9449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EEF195-ACCB-4D13-BFA8-364A9E5E7501}">
  <ds:schemaRefs>
    <ds:schemaRef ds:uri="http://schemas.microsoft.com/office/2006/metadata/properties"/>
    <ds:schemaRef ds:uri="http://schemas.microsoft.com/office/infopath/2007/PartnerControls"/>
    <ds:schemaRef ds:uri="fc659945-eb9d-43c6-af69-4bc52b944968"/>
    <ds:schemaRef ds:uri="e05ba953-cf8b-491d-ba87-91e954c227bd"/>
  </ds:schemaRefs>
</ds:datastoreItem>
</file>

<file path=customXml/itemProps3.xml><?xml version="1.0" encoding="utf-8"?>
<ds:datastoreItem xmlns:ds="http://schemas.openxmlformats.org/officeDocument/2006/customXml" ds:itemID="{5D9BB358-E2DB-49AC-8900-32EE8F2397A2}">
  <ds:schemaRefs>
    <ds:schemaRef ds:uri="http://schemas.microsoft.com/sharepoint/v3/contenttype/forms"/>
  </ds:schemaRefs>
</ds:datastoreItem>
</file>

<file path=customXml/itemProps4.xml><?xml version="1.0" encoding="utf-8"?>
<ds:datastoreItem xmlns:ds="http://schemas.openxmlformats.org/officeDocument/2006/customXml" ds:itemID="{91777E2F-5A36-47ED-BD56-039A4A22E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5070</Words>
  <Characters>28901</Characters>
  <Application>Microsoft Office Word</Application>
  <DocSecurity>8</DocSecurity>
  <Lines>240</Lines>
  <Paragraphs>67</Paragraphs>
  <ScaleCrop>false</ScaleCrop>
  <HeadingPairs>
    <vt:vector size="2" baseType="variant">
      <vt:variant>
        <vt:lpstr>Title</vt:lpstr>
      </vt:variant>
      <vt:variant>
        <vt:i4>1</vt:i4>
      </vt:variant>
    </vt:vector>
  </HeadingPairs>
  <TitlesOfParts>
    <vt:vector size="1" baseType="lpstr">
      <vt:lpstr>APP Evaluation - Coachbright March 2026</vt:lpstr>
    </vt:vector>
  </TitlesOfParts>
  <Company/>
  <LinksUpToDate>false</LinksUpToDate>
  <CharactersWithSpaces>33904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Evaluation - Coachbright March 2026</dc:title>
  <dc:subject/>
  <dc:creator>Ben Worsfold</dc:creator>
  <cp:keywords/>
  <dc:description/>
  <cp:lastModifiedBy>Lydia Fletcher</cp:lastModifiedBy>
  <cp:revision>2</cp:revision>
  <cp:lastPrinted>2026-03-19T16:29:00Z</cp:lastPrinted>
  <dcterms:created xsi:type="dcterms:W3CDTF">2026-05-14T13:59:00Z</dcterms:created>
  <dcterms:modified xsi:type="dcterms:W3CDTF">2026-05-14T13:59:00Z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0x010100E43039F55DC3BC4AA3F2E371230C76AA</vt:lpwstr>
  </property>
  <property fmtid="{D5CDD505-2E9C-101B-9397-08002B2CF9AE}" pid="3" name="MediaServiceImageTags">
    <vt:lpwstr/>
  </property>
  <property fmtid="{D5CDD505-2E9C-101B-9397-08002B2CF9AE}" pid="4" name="Order">
    <vt:r8>110800</vt:r8>
  </property>
  <property fmtid="{D5CDD505-2E9C-101B-9397-08002B2CF9AE}" pid="5" name="TriggerFlowInfo">
    <vt:lpwstr/>
  </property>
  <property fmtid="{D5CDD505-2E9C-101B-9397-08002B2CF9AE}" pid="6" name="ComplianceAssetId">
    <vt:lpwstr/>
  </property>
  <property fmtid="{D5CDD505-2E9C-101B-9397-08002B2CF9AE}" pid="7" name="_ExtendedDescription">
    <vt:lpwstr/>
  </property>
  <property fmtid="{D5CDD505-2E9C-101B-9397-08002B2CF9AE}" pid="8" name="_MarkAsFinal">
    <vt:bool>true</vt:bool>
  </property>
</Properties>
</file>