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0E8A4" w14:textId="03B7F7DC" w:rsidR="009C0C1F" w:rsidRDefault="009C0C1F">
      <w:pPr>
        <w:rPr>
          <w:b/>
          <w:bCs/>
        </w:rPr>
      </w:pPr>
      <w:r w:rsidRPr="60FAC13A">
        <w:rPr>
          <w:b/>
          <w:bCs/>
        </w:rPr>
        <w:t>What’s driving non-continuation?</w:t>
      </w:r>
      <w:r w:rsidR="4794462A" w:rsidRPr="60FAC13A">
        <w:rPr>
          <w:b/>
          <w:bCs/>
        </w:rPr>
        <w:t xml:space="preserve"> Learnings from the APP ‘calling campaigns’ activity</w:t>
      </w:r>
      <w:r w:rsidR="00A23E3A">
        <w:rPr>
          <w:b/>
          <w:bCs/>
        </w:rPr>
        <w:t xml:space="preserve"> (blog)</w:t>
      </w:r>
    </w:p>
    <w:p w14:paraId="3D9C51B2" w14:textId="20A32350" w:rsidR="4794462A" w:rsidRDefault="4794462A" w:rsidP="60FAC13A">
      <w:pPr>
        <w:rPr>
          <w:i/>
          <w:iCs/>
        </w:rPr>
      </w:pPr>
      <w:r w:rsidRPr="60FAC13A">
        <w:rPr>
          <w:i/>
          <w:iCs/>
        </w:rPr>
        <w:t>Mathew Haine, Student Outcomes Manager</w:t>
      </w:r>
    </w:p>
    <w:p w14:paraId="268B930A" w14:textId="20F7CCFB" w:rsidR="00285AEF" w:rsidRDefault="009C0C1F">
      <w:r>
        <w:t xml:space="preserve">Our Access and Participation Plan includes an activity called ‘calling campaigns’. </w:t>
      </w:r>
      <w:r w:rsidR="00BA0F06">
        <w:t xml:space="preserve">The original </w:t>
      </w:r>
      <w:r>
        <w:t xml:space="preserve">idea was that </w:t>
      </w:r>
      <w:r w:rsidR="00BA0F06">
        <w:t>interviewing</w:t>
      </w:r>
      <w:r w:rsidR="00285AEF">
        <w:t xml:space="preserve"> former</w:t>
      </w:r>
      <w:r>
        <w:t xml:space="preserve"> students </w:t>
      </w:r>
      <w:r w:rsidR="00C72809">
        <w:t xml:space="preserve">from our continuation target groups (Black ethnicity, mature age) </w:t>
      </w:r>
      <w:r>
        <w:t xml:space="preserve">who had failed to continue </w:t>
      </w:r>
      <w:r w:rsidR="00BA0F06">
        <w:t xml:space="preserve">would offer </w:t>
      </w:r>
      <w:r>
        <w:t xml:space="preserve">first-hand insights from the </w:t>
      </w:r>
      <w:r w:rsidR="006513ED">
        <w:t>students</w:t>
      </w:r>
      <w:r>
        <w:t xml:space="preserve"> affected by non-continuation. </w:t>
      </w:r>
    </w:p>
    <w:p w14:paraId="5AE938B4" w14:textId="148BB3E2" w:rsidR="00285AEF" w:rsidRDefault="009C0C1F">
      <w:r>
        <w:t xml:space="preserve">This would tackle </w:t>
      </w:r>
      <w:r w:rsidR="00285AEF">
        <w:t xml:space="preserve">the </w:t>
      </w:r>
      <w:r>
        <w:t>shortcoming many institutions face: student voice schemes tend to attract ‘engaged’ and academically high-achieving students who ultimately can’t speak to the experience of peers who fail to continue.</w:t>
      </w:r>
      <w:r w:rsidR="00285AEF">
        <w:t xml:space="preserve"> It is those students we must learn from.</w:t>
      </w:r>
    </w:p>
    <w:p w14:paraId="675934DD" w14:textId="61AC3EDA" w:rsidR="00285AEF" w:rsidRDefault="009C0C1F">
      <w:r>
        <w:t>In theory, these calls could bring to light previously unknown barriers and help us prioritise</w:t>
      </w:r>
      <w:r w:rsidR="0017210B">
        <w:t xml:space="preserve"> broad areas of focus</w:t>
      </w:r>
      <w:r w:rsidR="00285AEF">
        <w:t xml:space="preserve">. </w:t>
      </w:r>
      <w:r>
        <w:t>In practice, we went as far as producing interview scripts</w:t>
      </w:r>
      <w:r w:rsidR="00BA0F06">
        <w:t>, surveys</w:t>
      </w:r>
      <w:r>
        <w:t xml:space="preserve"> and evaluation plans before </w:t>
      </w:r>
      <w:r w:rsidR="00BA0F06">
        <w:t xml:space="preserve">losing confidence in the activity as originally conceived. </w:t>
      </w:r>
    </w:p>
    <w:p w14:paraId="7294C331" w14:textId="016A73A9" w:rsidR="00285AEF" w:rsidRDefault="00285AEF">
      <w:r>
        <w:t>I am</w:t>
      </w:r>
      <w:r w:rsidR="00C72809">
        <w:t xml:space="preserve"> </w:t>
      </w:r>
      <w:r>
        <w:t xml:space="preserve">a “non-continuer” myself. I first went to Keele University in 2008, where my personal circumstances dictated that I first failed, </w:t>
      </w:r>
      <w:r w:rsidR="0017210B">
        <w:t xml:space="preserve">re-enrolled, </w:t>
      </w:r>
      <w:r>
        <w:t>then withdrew from, my first year of stud</w:t>
      </w:r>
      <w:r w:rsidR="0017210B">
        <w:t>y</w:t>
      </w:r>
      <w:r>
        <w:t>.</w:t>
      </w:r>
      <w:r w:rsidR="0017210B">
        <w:t xml:space="preserve"> It was only</w:t>
      </w:r>
      <w:r w:rsidR="00C72809">
        <w:t xml:space="preserve"> years</w:t>
      </w:r>
      <w:r w:rsidR="0017210B">
        <w:t xml:space="preserve"> later, as a mature student, that I progressed (and graduated with a ‘good degree’) at the University of Surrey. Today, this rollercoaster experience of higher education is what motivates me professionally. But it also gives me some personal insight into how messy and tender the reality of “non-continuation” can be.</w:t>
      </w:r>
    </w:p>
    <w:p w14:paraId="5B7E1247" w14:textId="0CF91DC5" w:rsidR="0017210B" w:rsidRDefault="0017210B">
      <w:r>
        <w:t>That is to say: non-continuation is a significant life event. We simply can’t be sure it is ethical to ask people moving on with their lives to relive potentially sensitive experiences over the phone or by survey. That is assuming people would respond in significant enough rates at all.</w:t>
      </w:r>
    </w:p>
    <w:p w14:paraId="30EB867F" w14:textId="1F109183" w:rsidR="00285AEF" w:rsidRDefault="0017210B">
      <w:r>
        <w:t>Fortunately,</w:t>
      </w:r>
      <w:r w:rsidR="00285AEF">
        <w:t xml:space="preserve"> the insights gathered from </w:t>
      </w:r>
      <w:r>
        <w:t>the data alone offer us useful starting points.</w:t>
      </w:r>
    </w:p>
    <w:p w14:paraId="14FB9CE5" w14:textId="10C55DC5" w:rsidR="0017210B" w:rsidRDefault="00C72809">
      <w:pPr>
        <w:rPr>
          <w:b/>
          <w:bCs/>
        </w:rPr>
      </w:pPr>
      <w:r>
        <w:rPr>
          <w:noProof/>
        </w:rPr>
        <w:drawing>
          <wp:anchor distT="0" distB="0" distL="114300" distR="114300" simplePos="0" relativeHeight="251658240" behindDoc="1" locked="0" layoutInCell="1" allowOverlap="1" wp14:anchorId="5DCB7987" wp14:editId="1EB8C00D">
            <wp:simplePos x="0" y="0"/>
            <wp:positionH relativeFrom="column">
              <wp:posOffset>3410585</wp:posOffset>
            </wp:positionH>
            <wp:positionV relativeFrom="paragraph">
              <wp:posOffset>377190</wp:posOffset>
            </wp:positionV>
            <wp:extent cx="3343910" cy="3234055"/>
            <wp:effectExtent l="19050" t="19050" r="27940" b="23495"/>
            <wp:wrapTight wrapText="bothSides">
              <wp:wrapPolygon edited="0">
                <wp:start x="-123" y="-127"/>
                <wp:lineTo x="-123" y="21630"/>
                <wp:lineTo x="21657" y="21630"/>
                <wp:lineTo x="21657" y="-127"/>
                <wp:lineTo x="-123" y="-127"/>
              </wp:wrapPolygon>
            </wp:wrapTight>
            <wp:docPr id="1639435849" name="Picture 1" descr="Black non continuation, primarily driven by academic failure (47%), followed by withdrawal and transfer (22%)">
              <a:extLst xmlns:a="http://schemas.openxmlformats.org/drawingml/2006/main">
                <a:ext uri="{FF2B5EF4-FFF2-40B4-BE49-F238E27FC236}">
                  <a16:creationId xmlns:a16="http://schemas.microsoft.com/office/drawing/2014/main" id="{407B9232-36FE-4FAA-94D2-E13B6FF4DD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35849" name="Picture 1" descr="Black non continuation, primarily driven by academic failure (47%), followed by withdrawal and transfer (22%)"/>
                    <pic:cNvPicPr/>
                  </pic:nvPicPr>
                  <pic:blipFill>
                    <a:blip r:embed="rId8">
                      <a:extLst>
                        <a:ext uri="{28A0092B-C50C-407E-A947-70E740481C1C}">
                          <a14:useLocalDpi xmlns:a14="http://schemas.microsoft.com/office/drawing/2010/main" val="0"/>
                        </a:ext>
                      </a:extLst>
                    </a:blip>
                    <a:stretch>
                      <a:fillRect/>
                    </a:stretch>
                  </pic:blipFill>
                  <pic:spPr>
                    <a:xfrm>
                      <a:off x="0" y="0"/>
                      <a:ext cx="3343910" cy="323405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Pr>
          <w:b/>
          <w:bCs/>
        </w:rPr>
        <w:t>Academic failure is driving the Black-white non-continuation gap</w:t>
      </w:r>
    </w:p>
    <w:p w14:paraId="282AE26C" w14:textId="77777777" w:rsidR="00C72809" w:rsidRDefault="00C72809">
      <w:r>
        <w:rPr>
          <w:noProof/>
        </w:rPr>
        <w:drawing>
          <wp:anchor distT="0" distB="0" distL="114300" distR="114300" simplePos="0" relativeHeight="251658241" behindDoc="1" locked="0" layoutInCell="1" allowOverlap="1" wp14:anchorId="5ACAEA1D" wp14:editId="6B7804BD">
            <wp:simplePos x="0" y="0"/>
            <wp:positionH relativeFrom="column">
              <wp:posOffset>22386</wp:posOffset>
            </wp:positionH>
            <wp:positionV relativeFrom="paragraph">
              <wp:posOffset>60922</wp:posOffset>
            </wp:positionV>
            <wp:extent cx="3276600" cy="3234055"/>
            <wp:effectExtent l="19050" t="19050" r="19050" b="23495"/>
            <wp:wrapTight wrapText="bothSides">
              <wp:wrapPolygon edited="0">
                <wp:start x="-126" y="-127"/>
                <wp:lineTo x="-126" y="21630"/>
                <wp:lineTo x="21600" y="21630"/>
                <wp:lineTo x="21600" y="-127"/>
                <wp:lineTo x="-126" y="-127"/>
              </wp:wrapPolygon>
            </wp:wrapTight>
            <wp:docPr id="585786382" name="Picture 1" descr="White non-continuation, driven by failure (38%) followed by withdrawal (39%)">
              <a:extLst xmlns:a="http://schemas.openxmlformats.org/drawingml/2006/main">
                <a:ext uri="{FF2B5EF4-FFF2-40B4-BE49-F238E27FC236}">
                  <a16:creationId xmlns:a16="http://schemas.microsoft.com/office/drawing/2014/main" id="{E34E5602-E2A4-421B-89E0-3B1738278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86382" name="Picture 1" descr="White non-continuation, driven by failure (38%) followed by withdrawal (3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6600" cy="323405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4A7E9D0C" w14:textId="27F5F891" w:rsidR="0017210B" w:rsidRDefault="00C72809">
      <w:r>
        <w:lastRenderedPageBreak/>
        <w:t xml:space="preserve">A </w:t>
      </w:r>
      <w:r w:rsidR="314DED90">
        <w:t xml:space="preserve">lower </w:t>
      </w:r>
      <w:r>
        <w:t xml:space="preserve">proportion of our </w:t>
      </w:r>
      <w:r w:rsidR="609BA3CA">
        <w:t xml:space="preserve">Black </w:t>
      </w:r>
      <w:r>
        <w:t>ethnicity students are opting to withdraw</w:t>
      </w:r>
      <w:r w:rsidR="00AA1352">
        <w:t xml:space="preserve"> (</w:t>
      </w:r>
      <w:r w:rsidR="00CF524F">
        <w:t>-17</w:t>
      </w:r>
      <w:r w:rsidR="00F83D86">
        <w:t>%)</w:t>
      </w:r>
      <w:r>
        <w:t xml:space="preserve">, </w:t>
      </w:r>
      <w:r w:rsidR="2715A14C">
        <w:t xml:space="preserve">and a higher proportion are </w:t>
      </w:r>
      <w:r>
        <w:t>failing to continue due to underperformance in assessments</w:t>
      </w:r>
      <w:r w:rsidR="00465C42">
        <w:t xml:space="preserve"> </w:t>
      </w:r>
      <w:r w:rsidR="00102C68">
        <w:t>(+9</w:t>
      </w:r>
      <w:r w:rsidR="00F93FB7">
        <w:t>%)</w:t>
      </w:r>
      <w:r>
        <w:t xml:space="preserve">. </w:t>
      </w:r>
    </w:p>
    <w:p w14:paraId="08AD8217" w14:textId="3116A61A" w:rsidR="00C72809" w:rsidRDefault="26A6F50B">
      <w:r>
        <w:t>T</w:t>
      </w:r>
      <w:r w:rsidR="00C72809">
        <w:t xml:space="preserve">his confirms the idea that </w:t>
      </w:r>
      <w:r w:rsidR="008071B0">
        <w:t xml:space="preserve">a disproportionate chunk of this </w:t>
      </w:r>
      <w:r w:rsidR="00C72809">
        <w:t>APP target group is trying to continue and not</w:t>
      </w:r>
      <w:r w:rsidR="00F319EF">
        <w:t xml:space="preserve"> </w:t>
      </w:r>
      <w:r w:rsidR="001F4A19">
        <w:t>succeedin</w:t>
      </w:r>
      <w:r w:rsidR="00F50583">
        <w:t>g</w:t>
      </w:r>
      <w:r w:rsidR="00C72809">
        <w:t>, meaning inequalities in our curriculum and our assessment practices</w:t>
      </w:r>
      <w:r w:rsidR="008071B0">
        <w:t xml:space="preserve"> could account for</w:t>
      </w:r>
      <w:r w:rsidR="54126A05">
        <w:t xml:space="preserve"> a substantial portion of</w:t>
      </w:r>
      <w:r w:rsidR="008071B0">
        <w:t xml:space="preserve"> the continuation gap</w:t>
      </w:r>
      <w:r w:rsidR="00C72809">
        <w:t>.</w:t>
      </w:r>
    </w:p>
    <w:p w14:paraId="2392BE7B" w14:textId="09F4DD77" w:rsidR="00A61ECE" w:rsidRDefault="008071B0">
      <w:r>
        <w:rPr>
          <w:noProof/>
        </w:rPr>
        <w:drawing>
          <wp:anchor distT="0" distB="0" distL="114300" distR="114300" simplePos="0" relativeHeight="251658242" behindDoc="1" locked="0" layoutInCell="1" allowOverlap="1" wp14:anchorId="1D63E21E" wp14:editId="39A0965A">
            <wp:simplePos x="0" y="0"/>
            <wp:positionH relativeFrom="column">
              <wp:posOffset>1398905</wp:posOffset>
            </wp:positionH>
            <wp:positionV relativeFrom="paragraph">
              <wp:posOffset>34925</wp:posOffset>
            </wp:positionV>
            <wp:extent cx="3337560" cy="3234055"/>
            <wp:effectExtent l="19050" t="19050" r="15240" b="23495"/>
            <wp:wrapTight wrapText="bothSides">
              <wp:wrapPolygon edited="0">
                <wp:start x="-123" y="-127"/>
                <wp:lineTo x="-123" y="21630"/>
                <wp:lineTo x="21575" y="21630"/>
                <wp:lineTo x="21575" y="-127"/>
                <wp:lineTo x="-123" y="-127"/>
              </wp:wrapPolygon>
            </wp:wrapTight>
            <wp:docPr id="636566275" name="Picture 1" descr="Black reasons for withdrawal - 44% personal or social">
              <a:extLst xmlns:a="http://schemas.openxmlformats.org/drawingml/2006/main">
                <a:ext uri="{FF2B5EF4-FFF2-40B4-BE49-F238E27FC236}">
                  <a16:creationId xmlns:a16="http://schemas.microsoft.com/office/drawing/2014/main" id="{6FAEAAF7-2DAF-4AC3-9565-545C0C8DA2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66275" name="Picture 1" descr="Black reasons for withdrawal - 44% personal or soci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37560" cy="323405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17DB0E81" w14:textId="77777777" w:rsidR="00A61ECE" w:rsidRDefault="00A61ECE"/>
    <w:p w14:paraId="3192638C" w14:textId="77777777" w:rsidR="00A61ECE" w:rsidRDefault="00A61ECE"/>
    <w:p w14:paraId="5666956A" w14:textId="77777777" w:rsidR="00A61ECE" w:rsidRDefault="00A61ECE"/>
    <w:p w14:paraId="7A0C2250" w14:textId="77777777" w:rsidR="00A61ECE" w:rsidRDefault="00A61ECE"/>
    <w:p w14:paraId="508D2FB0" w14:textId="77777777" w:rsidR="00A61ECE" w:rsidRDefault="00A61ECE"/>
    <w:p w14:paraId="559B6968" w14:textId="77777777" w:rsidR="00A61ECE" w:rsidRDefault="00A61ECE"/>
    <w:p w14:paraId="768354AF" w14:textId="77777777" w:rsidR="00A61ECE" w:rsidRDefault="00A61ECE"/>
    <w:p w14:paraId="752D1936" w14:textId="77777777" w:rsidR="00A61ECE" w:rsidRDefault="00A61ECE"/>
    <w:p w14:paraId="78726314" w14:textId="77777777" w:rsidR="008071B0" w:rsidRDefault="008071B0"/>
    <w:p w14:paraId="06036747" w14:textId="77777777" w:rsidR="00A61ECE" w:rsidRDefault="00A61ECE"/>
    <w:p w14:paraId="3C8610B1" w14:textId="17DC6CC4" w:rsidR="00C72809" w:rsidRDefault="00C72809">
      <w:r>
        <w:t xml:space="preserve">Within the voluntary withdrawal group, more of our Black students were leaving for unspecified personal reasons, as opposed to reasons like entering employment (-5%) or health concerns (-11%). </w:t>
      </w:r>
      <w:r w:rsidR="0097685D">
        <w:t>Of course, we only know what students tell us on their withdrawal form and ‘personal reasons’ could cover a range of experiences.</w:t>
      </w:r>
    </w:p>
    <w:p w14:paraId="3B6AC85B" w14:textId="2B8C963A" w:rsidR="00A61ECE" w:rsidRPr="00A61ECE" w:rsidRDefault="00A61ECE">
      <w:pPr>
        <w:rPr>
          <w:b/>
          <w:bCs/>
        </w:rPr>
      </w:pPr>
      <w:r>
        <w:rPr>
          <w:noProof/>
        </w:rPr>
        <w:drawing>
          <wp:anchor distT="0" distB="0" distL="114300" distR="114300" simplePos="0" relativeHeight="251658243" behindDoc="1" locked="0" layoutInCell="1" allowOverlap="1" wp14:anchorId="1EC19CC5" wp14:editId="19DFCBF8">
            <wp:simplePos x="0" y="0"/>
            <wp:positionH relativeFrom="column">
              <wp:posOffset>0</wp:posOffset>
            </wp:positionH>
            <wp:positionV relativeFrom="paragraph">
              <wp:posOffset>367706</wp:posOffset>
            </wp:positionV>
            <wp:extent cx="3328670" cy="3253105"/>
            <wp:effectExtent l="19050" t="19050" r="24130" b="23495"/>
            <wp:wrapTight wrapText="bothSides">
              <wp:wrapPolygon edited="0">
                <wp:start x="-124" y="-126"/>
                <wp:lineTo x="-124" y="21630"/>
                <wp:lineTo x="21633" y="21630"/>
                <wp:lineTo x="21633" y="-126"/>
                <wp:lineTo x="-124" y="-126"/>
              </wp:wrapPolygon>
            </wp:wrapTight>
            <wp:docPr id="1823026319" name="Picture 1" descr="Young non-continuation driven by academic failure (42%) and withdrawal (28%)">
              <a:extLst xmlns:a="http://schemas.openxmlformats.org/drawingml/2006/main">
                <a:ext uri="{FF2B5EF4-FFF2-40B4-BE49-F238E27FC236}">
                  <a16:creationId xmlns:a16="http://schemas.microsoft.com/office/drawing/2014/main" id="{DB5FE7C8-8F8F-43D4-96FC-EA20099731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26319" name="Picture 1" descr="Young non-continuation driven by academic failure (42%) and withdrawal (2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28670" cy="325310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3CB39300" wp14:editId="3B49D0E6">
            <wp:simplePos x="0" y="0"/>
            <wp:positionH relativeFrom="column">
              <wp:posOffset>3410140</wp:posOffset>
            </wp:positionH>
            <wp:positionV relativeFrom="paragraph">
              <wp:posOffset>372745</wp:posOffset>
            </wp:positionV>
            <wp:extent cx="3302635" cy="3247390"/>
            <wp:effectExtent l="19050" t="19050" r="12065" b="10160"/>
            <wp:wrapTight wrapText="bothSides">
              <wp:wrapPolygon edited="0">
                <wp:start x="-125" y="-127"/>
                <wp:lineTo x="-125" y="21541"/>
                <wp:lineTo x="21554" y="21541"/>
                <wp:lineTo x="21554" y="-127"/>
                <wp:lineTo x="-125" y="-127"/>
              </wp:wrapPolygon>
            </wp:wrapTight>
            <wp:docPr id="1364586253" name="Picture 1" descr="Mature non continuation driven by academic failure (42%) and withdrawal (37%)">
              <a:extLst xmlns:a="http://schemas.openxmlformats.org/drawingml/2006/main">
                <a:ext uri="{FF2B5EF4-FFF2-40B4-BE49-F238E27FC236}">
                  <a16:creationId xmlns:a16="http://schemas.microsoft.com/office/drawing/2014/main" id="{5E915A88-0A71-41A3-AE48-9732996D4A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86253" name="Picture 1" descr="Mature non continuation driven by academic failure (42%) and withdrawal (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02635" cy="324739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C72809">
        <w:rPr>
          <w:b/>
          <w:bCs/>
        </w:rPr>
        <w:t>Voluntary withdrawal is driving the age non-continuation gap</w:t>
      </w:r>
    </w:p>
    <w:p w14:paraId="0831C041" w14:textId="77777777" w:rsidR="00A61ECE" w:rsidRDefault="00A61ECE"/>
    <w:p w14:paraId="7F488D20" w14:textId="5D5CAA76" w:rsidR="00A61ECE" w:rsidRDefault="00A61ECE">
      <w:r>
        <w:lastRenderedPageBreak/>
        <w:t xml:space="preserve">When comparing mature and young learners, perhaps surprisingly, the rates of academic failure are the same (42%). The difference is that more mature students are voluntarily leaving UoR through withdrawal (+9%). </w:t>
      </w:r>
    </w:p>
    <w:p w14:paraId="202216A2" w14:textId="50E646B4" w:rsidR="00A61ECE" w:rsidRDefault="00A61ECE">
      <w:r>
        <w:rPr>
          <w:noProof/>
        </w:rPr>
        <w:drawing>
          <wp:anchor distT="0" distB="0" distL="114300" distR="114300" simplePos="0" relativeHeight="251658245" behindDoc="1" locked="0" layoutInCell="1" allowOverlap="1" wp14:anchorId="44685248" wp14:editId="1071566F">
            <wp:simplePos x="0" y="0"/>
            <wp:positionH relativeFrom="column">
              <wp:posOffset>1678675</wp:posOffset>
            </wp:positionH>
            <wp:positionV relativeFrom="paragraph">
              <wp:posOffset>15875</wp:posOffset>
            </wp:positionV>
            <wp:extent cx="3361690" cy="3275965"/>
            <wp:effectExtent l="19050" t="19050" r="10160" b="19685"/>
            <wp:wrapTight wrapText="bothSides">
              <wp:wrapPolygon edited="0">
                <wp:start x="-122" y="-126"/>
                <wp:lineTo x="-122" y="21604"/>
                <wp:lineTo x="21543" y="21604"/>
                <wp:lineTo x="21543" y="-126"/>
                <wp:lineTo x="-122" y="-126"/>
              </wp:wrapPolygon>
            </wp:wrapTight>
            <wp:docPr id="952117446" name="Picture 1" descr="Reasons for mature withdrawal primarily personal/social (44%) then health (21%)">
              <a:extLst xmlns:a="http://schemas.openxmlformats.org/drawingml/2006/main">
                <a:ext uri="{FF2B5EF4-FFF2-40B4-BE49-F238E27FC236}">
                  <a16:creationId xmlns:a16="http://schemas.microsoft.com/office/drawing/2014/main" id="{25337A3E-6960-4A13-AD89-5DD15A7AEB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17446" name="Picture 1" descr="Reasons for mature withdrawal primarily personal/social (44%) then health (21%)"/>
                    <pic:cNvPicPr/>
                  </pic:nvPicPr>
                  <pic:blipFill>
                    <a:blip r:embed="rId13">
                      <a:extLst>
                        <a:ext uri="{28A0092B-C50C-407E-A947-70E740481C1C}">
                          <a14:useLocalDpi xmlns:a14="http://schemas.microsoft.com/office/drawing/2010/main" val="0"/>
                        </a:ext>
                      </a:extLst>
                    </a:blip>
                    <a:stretch>
                      <a:fillRect/>
                    </a:stretch>
                  </pic:blipFill>
                  <pic:spPr>
                    <a:xfrm>
                      <a:off x="0" y="0"/>
                      <a:ext cx="3361690" cy="327596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450CD006" w14:textId="77777777" w:rsidR="00A61ECE" w:rsidRDefault="00A61ECE"/>
    <w:p w14:paraId="53A4DE96" w14:textId="77777777" w:rsidR="00A61ECE" w:rsidRDefault="00A61ECE"/>
    <w:p w14:paraId="3CA83613" w14:textId="77777777" w:rsidR="00A61ECE" w:rsidRDefault="00A61ECE"/>
    <w:p w14:paraId="5FE2C78E" w14:textId="77777777" w:rsidR="00A61ECE" w:rsidRDefault="00A61ECE"/>
    <w:p w14:paraId="36E69D52" w14:textId="77777777" w:rsidR="00A61ECE" w:rsidRDefault="00A61ECE"/>
    <w:p w14:paraId="2EB7EB0F" w14:textId="77777777" w:rsidR="00A61ECE" w:rsidRDefault="00A61ECE"/>
    <w:p w14:paraId="75CC679C" w14:textId="77777777" w:rsidR="00A61ECE" w:rsidRDefault="00A61ECE"/>
    <w:p w14:paraId="18E5C7E3" w14:textId="77777777" w:rsidR="00A61ECE" w:rsidRDefault="00A61ECE"/>
    <w:p w14:paraId="16BE25A9" w14:textId="77777777" w:rsidR="00A61ECE" w:rsidRDefault="00A61ECE"/>
    <w:p w14:paraId="7710BA11" w14:textId="77777777" w:rsidR="00A61ECE" w:rsidRDefault="00A61ECE"/>
    <w:p w14:paraId="10F02184" w14:textId="31405B96" w:rsidR="00C72809" w:rsidRDefault="00A61ECE">
      <w:r>
        <w:t>Looking further shows that these students are leaving HE altogether. Personal reasons account for 11% more withdrawals in the mature group, and a lower proportion was entering into employment (-10%)</w:t>
      </w:r>
      <w:r w:rsidR="00B37015">
        <w:t xml:space="preserve"> </w:t>
      </w:r>
      <w:r w:rsidR="00495404">
        <w:t>or transfe</w:t>
      </w:r>
      <w:r w:rsidR="00897273">
        <w:t>rring to another</w:t>
      </w:r>
      <w:r w:rsidR="0095435C">
        <w:t xml:space="preserve"> provider (</w:t>
      </w:r>
      <w:r w:rsidR="00996747">
        <w:t>-11</w:t>
      </w:r>
      <w:r w:rsidR="00F31013">
        <w:t>%)</w:t>
      </w:r>
      <w:r>
        <w:t xml:space="preserve">.  </w:t>
      </w:r>
    </w:p>
    <w:p w14:paraId="7460CA41" w14:textId="06A5C22C" w:rsidR="00A61ECE" w:rsidRDefault="00A61ECE">
      <w:r>
        <w:t xml:space="preserve">Perhaps it’s safe to speculate that mature students - who often manage personal responsibilities such as dependents and homes – are just more likely to decide that HE is not right for them. </w:t>
      </w:r>
      <w:r w:rsidR="00383B7C">
        <w:t>T</w:t>
      </w:r>
      <w:r>
        <w:t xml:space="preserve">his poses the interesting question of whether it is the responsibility of institutions to dissuade target students for the sake of continuation rates. </w:t>
      </w:r>
    </w:p>
    <w:p w14:paraId="2583D465" w14:textId="5CF2AC12" w:rsidR="00914DE5" w:rsidRDefault="00A61ECE">
      <w:r>
        <w:t xml:space="preserve">In either case, </w:t>
      </w:r>
      <w:r w:rsidR="43ADD571">
        <w:t xml:space="preserve">monitoring these reasons for non-continuation on an ongoing basis should give us </w:t>
      </w:r>
      <w:r w:rsidR="00D07052">
        <w:t xml:space="preserve">the </w:t>
      </w:r>
      <w:r w:rsidR="0060208B">
        <w:t xml:space="preserve">institutional </w:t>
      </w:r>
      <w:r w:rsidR="003D2E8F">
        <w:t xml:space="preserve">knowledge </w:t>
      </w:r>
      <w:r w:rsidR="00340522">
        <w:t>we wer</w:t>
      </w:r>
      <w:r w:rsidR="00842FE5">
        <w:t>e seeking in the</w:t>
      </w:r>
      <w:r w:rsidR="005959CB">
        <w:t xml:space="preserve"> first </w:t>
      </w:r>
      <w:r w:rsidR="00084207">
        <w:t>instanc</w:t>
      </w:r>
      <w:r w:rsidR="002450A2">
        <w:t>e.</w:t>
      </w:r>
      <w:r w:rsidR="00430072">
        <w:t xml:space="preserve"> </w:t>
      </w:r>
      <w:r w:rsidR="00162711">
        <w:t>T</w:t>
      </w:r>
      <w:r w:rsidR="00186804">
        <w:t>he work of our</w:t>
      </w:r>
      <w:r w:rsidR="00FA6325">
        <w:t xml:space="preserve"> </w:t>
      </w:r>
      <w:r w:rsidR="00621520">
        <w:t>Success</w:t>
      </w:r>
      <w:r w:rsidR="00F46152">
        <w:t xml:space="preserve"> Par</w:t>
      </w:r>
      <w:r w:rsidR="00511764">
        <w:t>tners</w:t>
      </w:r>
      <w:r w:rsidR="00487FEA">
        <w:t xml:space="preserve"> on the Home Fou</w:t>
      </w:r>
      <w:r w:rsidR="006E6795">
        <w:t>ndation Year</w:t>
      </w:r>
      <w:r w:rsidR="00635A4B">
        <w:t xml:space="preserve">, </w:t>
      </w:r>
      <w:r w:rsidR="38EEE65A">
        <w:t xml:space="preserve">testing a model of </w:t>
      </w:r>
      <w:r w:rsidR="003C5C10">
        <w:t>early interv</w:t>
      </w:r>
      <w:r w:rsidR="00F55F3B">
        <w:t xml:space="preserve">ention </w:t>
      </w:r>
      <w:r w:rsidR="007657E0">
        <w:t xml:space="preserve">for </w:t>
      </w:r>
      <w:r w:rsidR="00673964">
        <w:t>disengaging stude</w:t>
      </w:r>
      <w:r w:rsidR="00C917DC">
        <w:t>nts, sh</w:t>
      </w:r>
      <w:r w:rsidR="000E6655">
        <w:t>ould help to ‘</w:t>
      </w:r>
      <w:r w:rsidR="00415226">
        <w:t>catch’ po</w:t>
      </w:r>
      <w:r w:rsidR="009B649E">
        <w:t>tential non</w:t>
      </w:r>
      <w:r w:rsidR="000911F0">
        <w:t>-continu</w:t>
      </w:r>
      <w:r w:rsidR="00A358AF">
        <w:t>ers bef</w:t>
      </w:r>
      <w:r w:rsidR="00593F8B">
        <w:t>ore it’s t</w:t>
      </w:r>
      <w:r w:rsidR="00F41B59">
        <w:t>oo late</w:t>
      </w:r>
      <w:r w:rsidR="00466005">
        <w:t xml:space="preserve">. </w:t>
      </w:r>
    </w:p>
    <w:p w14:paraId="2AE6FADC" w14:textId="7334E47E" w:rsidR="00A61ECE" w:rsidRDefault="00466005">
      <w:r>
        <w:t xml:space="preserve">Alongside </w:t>
      </w:r>
      <w:r w:rsidR="001204B0">
        <w:t>all of this,</w:t>
      </w:r>
      <w:r w:rsidR="43ADD571">
        <w:t xml:space="preserve"> </w:t>
      </w:r>
      <w:r w:rsidR="00A61ECE">
        <w:t xml:space="preserve">we </w:t>
      </w:r>
      <w:r w:rsidR="00077189">
        <w:t>are still</w:t>
      </w:r>
      <w:r w:rsidR="00A515F2">
        <w:t xml:space="preserve"> passionately</w:t>
      </w:r>
      <w:r w:rsidR="00125AC5">
        <w:t xml:space="preserve"> </w:t>
      </w:r>
      <w:r w:rsidR="00A61ECE">
        <w:t>focus</w:t>
      </w:r>
      <w:r w:rsidR="00CE2709">
        <w:t>ed</w:t>
      </w:r>
      <w:r w:rsidR="00A61ECE">
        <w:t xml:space="preserve"> on </w:t>
      </w:r>
      <w:r w:rsidR="0061438B">
        <w:t>devel</w:t>
      </w:r>
      <w:r w:rsidR="00295F37">
        <w:t xml:space="preserve">oping </w:t>
      </w:r>
      <w:r w:rsidR="00A61ECE">
        <w:t>healthy curricula and academic success for all students, so those who wish to continue have the best opportunity to do so.</w:t>
      </w:r>
    </w:p>
    <w:p w14:paraId="4C1F5F8D" w14:textId="77777777" w:rsidR="001256A0" w:rsidRDefault="001256A0"/>
    <w:p w14:paraId="596BC146" w14:textId="649FC8B1" w:rsidR="001256A0" w:rsidRDefault="001256A0" w:rsidP="001256A0">
      <w:pPr>
        <w:rPr>
          <w:b/>
          <w:bCs/>
        </w:rPr>
      </w:pPr>
      <w:r>
        <w:rPr>
          <w:b/>
          <w:bCs/>
        </w:rPr>
        <w:t xml:space="preserve">See the blog here: </w:t>
      </w:r>
      <w:hyperlink r:id="rId14" w:history="1">
        <w:r w:rsidRPr="00D5479A">
          <w:rPr>
            <w:rStyle w:val="Hyperlink"/>
            <w:b/>
            <w:bCs/>
          </w:rPr>
          <w:t>https://blogs.reading.ac.uk/app-evaluation-blog/2026/09/09/whats-driving-non-continuation-learnings-from-the-app-calling-campaigns-activity/</w:t>
        </w:r>
      </w:hyperlink>
      <w:r>
        <w:rPr>
          <w:b/>
          <w:bCs/>
        </w:rPr>
        <w:t xml:space="preserve"> </w:t>
      </w:r>
    </w:p>
    <w:p w14:paraId="52E940E7" w14:textId="77777777" w:rsidR="001256A0" w:rsidRPr="00C72809" w:rsidRDefault="001256A0"/>
    <w:sectPr w:rsidR="001256A0" w:rsidRPr="00C72809" w:rsidSect="00C7280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D0E"/>
    <w:rsid w:val="000056AE"/>
    <w:rsid w:val="00072552"/>
    <w:rsid w:val="00077189"/>
    <w:rsid w:val="00084207"/>
    <w:rsid w:val="000911F0"/>
    <w:rsid w:val="000D1109"/>
    <w:rsid w:val="000E0CCF"/>
    <w:rsid w:val="000E1968"/>
    <w:rsid w:val="000E1DB0"/>
    <w:rsid w:val="000E6655"/>
    <w:rsid w:val="00102C68"/>
    <w:rsid w:val="00107FF0"/>
    <w:rsid w:val="001204B0"/>
    <w:rsid w:val="001256A0"/>
    <w:rsid w:val="00125AC5"/>
    <w:rsid w:val="00127118"/>
    <w:rsid w:val="0015576A"/>
    <w:rsid w:val="00162711"/>
    <w:rsid w:val="0017210B"/>
    <w:rsid w:val="00186804"/>
    <w:rsid w:val="00191BCA"/>
    <w:rsid w:val="001B02B9"/>
    <w:rsid w:val="001B4D2F"/>
    <w:rsid w:val="001B6CC3"/>
    <w:rsid w:val="001F4A19"/>
    <w:rsid w:val="00207F2A"/>
    <w:rsid w:val="0022075D"/>
    <w:rsid w:val="00231E18"/>
    <w:rsid w:val="002450A2"/>
    <w:rsid w:val="00285AEF"/>
    <w:rsid w:val="00287F87"/>
    <w:rsid w:val="00295F37"/>
    <w:rsid w:val="002F6FF7"/>
    <w:rsid w:val="00340522"/>
    <w:rsid w:val="0035341E"/>
    <w:rsid w:val="00365441"/>
    <w:rsid w:val="00383B7C"/>
    <w:rsid w:val="003A3CD7"/>
    <w:rsid w:val="003C23DA"/>
    <w:rsid w:val="003C5C10"/>
    <w:rsid w:val="003D2E8F"/>
    <w:rsid w:val="00415226"/>
    <w:rsid w:val="00430072"/>
    <w:rsid w:val="004515B6"/>
    <w:rsid w:val="00465C42"/>
    <w:rsid w:val="00466005"/>
    <w:rsid w:val="00477ECE"/>
    <w:rsid w:val="00487FEA"/>
    <w:rsid w:val="00495404"/>
    <w:rsid w:val="004B3E04"/>
    <w:rsid w:val="004C2288"/>
    <w:rsid w:val="004D1724"/>
    <w:rsid w:val="00511764"/>
    <w:rsid w:val="00516A09"/>
    <w:rsid w:val="00523F40"/>
    <w:rsid w:val="00573E6F"/>
    <w:rsid w:val="0059118E"/>
    <w:rsid w:val="005921CC"/>
    <w:rsid w:val="00593F8B"/>
    <w:rsid w:val="005959CB"/>
    <w:rsid w:val="005B1F7B"/>
    <w:rsid w:val="005C0A79"/>
    <w:rsid w:val="0060208B"/>
    <w:rsid w:val="0061438B"/>
    <w:rsid w:val="00621520"/>
    <w:rsid w:val="00635A4B"/>
    <w:rsid w:val="00635FF1"/>
    <w:rsid w:val="006435A4"/>
    <w:rsid w:val="006513ED"/>
    <w:rsid w:val="00673964"/>
    <w:rsid w:val="006E6795"/>
    <w:rsid w:val="00710D59"/>
    <w:rsid w:val="007657E0"/>
    <w:rsid w:val="007A192A"/>
    <w:rsid w:val="007A25F8"/>
    <w:rsid w:val="007E143D"/>
    <w:rsid w:val="007F0811"/>
    <w:rsid w:val="008071B0"/>
    <w:rsid w:val="00814811"/>
    <w:rsid w:val="00840E57"/>
    <w:rsid w:val="00842FE5"/>
    <w:rsid w:val="008551B9"/>
    <w:rsid w:val="00881DAC"/>
    <w:rsid w:val="00897273"/>
    <w:rsid w:val="008B79B6"/>
    <w:rsid w:val="009061BC"/>
    <w:rsid w:val="00914DE5"/>
    <w:rsid w:val="00926D0E"/>
    <w:rsid w:val="0095435C"/>
    <w:rsid w:val="0097685D"/>
    <w:rsid w:val="00996747"/>
    <w:rsid w:val="009B649E"/>
    <w:rsid w:val="009C0C1F"/>
    <w:rsid w:val="009F018B"/>
    <w:rsid w:val="00A10513"/>
    <w:rsid w:val="00A23E3A"/>
    <w:rsid w:val="00A32E6C"/>
    <w:rsid w:val="00A358AF"/>
    <w:rsid w:val="00A515F2"/>
    <w:rsid w:val="00A526AB"/>
    <w:rsid w:val="00A61ECE"/>
    <w:rsid w:val="00A83E67"/>
    <w:rsid w:val="00AA1352"/>
    <w:rsid w:val="00AA650C"/>
    <w:rsid w:val="00B0779E"/>
    <w:rsid w:val="00B279A4"/>
    <w:rsid w:val="00B33CFE"/>
    <w:rsid w:val="00B37015"/>
    <w:rsid w:val="00B860BB"/>
    <w:rsid w:val="00B94B39"/>
    <w:rsid w:val="00BA0F06"/>
    <w:rsid w:val="00C21A8A"/>
    <w:rsid w:val="00C34A7A"/>
    <w:rsid w:val="00C72809"/>
    <w:rsid w:val="00C917DC"/>
    <w:rsid w:val="00CE2709"/>
    <w:rsid w:val="00CF524F"/>
    <w:rsid w:val="00D07052"/>
    <w:rsid w:val="00D50206"/>
    <w:rsid w:val="00DB6122"/>
    <w:rsid w:val="00DC0B84"/>
    <w:rsid w:val="00DD0A87"/>
    <w:rsid w:val="00DE6BE0"/>
    <w:rsid w:val="00E00BF4"/>
    <w:rsid w:val="00E41DF9"/>
    <w:rsid w:val="00E54849"/>
    <w:rsid w:val="00EA5844"/>
    <w:rsid w:val="00EA5A68"/>
    <w:rsid w:val="00EE0659"/>
    <w:rsid w:val="00EF36C0"/>
    <w:rsid w:val="00F126E6"/>
    <w:rsid w:val="00F31013"/>
    <w:rsid w:val="00F319EF"/>
    <w:rsid w:val="00F41B59"/>
    <w:rsid w:val="00F46152"/>
    <w:rsid w:val="00F50583"/>
    <w:rsid w:val="00F55F3B"/>
    <w:rsid w:val="00F83D86"/>
    <w:rsid w:val="00F93FB7"/>
    <w:rsid w:val="00FA6325"/>
    <w:rsid w:val="00FC68B2"/>
    <w:rsid w:val="00FC68C6"/>
    <w:rsid w:val="00FF0495"/>
    <w:rsid w:val="14AC0363"/>
    <w:rsid w:val="155C01EC"/>
    <w:rsid w:val="1B333255"/>
    <w:rsid w:val="1E00410C"/>
    <w:rsid w:val="1E40F59C"/>
    <w:rsid w:val="1ED12D41"/>
    <w:rsid w:val="20F3C885"/>
    <w:rsid w:val="26A6F50B"/>
    <w:rsid w:val="2715A14C"/>
    <w:rsid w:val="2BA1F480"/>
    <w:rsid w:val="314DED90"/>
    <w:rsid w:val="38EEE65A"/>
    <w:rsid w:val="43ADD571"/>
    <w:rsid w:val="44C473B6"/>
    <w:rsid w:val="4794462A"/>
    <w:rsid w:val="54126A05"/>
    <w:rsid w:val="55F57DE3"/>
    <w:rsid w:val="609BA3CA"/>
    <w:rsid w:val="60FAC13A"/>
    <w:rsid w:val="6256A32C"/>
    <w:rsid w:val="6F758CB0"/>
    <w:rsid w:val="7169C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71434"/>
  <w15:chartTrackingRefBased/>
  <w15:docId w15:val="{77B4006F-B55F-48C7-9E55-CA908E6A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6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D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D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D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D0E"/>
    <w:rPr>
      <w:rFonts w:eastAsiaTheme="majorEastAsia" w:cstheme="majorBidi"/>
      <w:color w:val="272727" w:themeColor="text1" w:themeTint="D8"/>
    </w:rPr>
  </w:style>
  <w:style w:type="paragraph" w:styleId="Title">
    <w:name w:val="Title"/>
    <w:basedOn w:val="Normal"/>
    <w:next w:val="Normal"/>
    <w:link w:val="TitleChar"/>
    <w:uiPriority w:val="10"/>
    <w:qFormat/>
    <w:rsid w:val="00926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D0E"/>
    <w:pPr>
      <w:spacing w:before="160"/>
      <w:jc w:val="center"/>
    </w:pPr>
    <w:rPr>
      <w:i/>
      <w:iCs/>
      <w:color w:val="404040" w:themeColor="text1" w:themeTint="BF"/>
    </w:rPr>
  </w:style>
  <w:style w:type="character" w:customStyle="1" w:styleId="QuoteChar">
    <w:name w:val="Quote Char"/>
    <w:basedOn w:val="DefaultParagraphFont"/>
    <w:link w:val="Quote"/>
    <w:uiPriority w:val="29"/>
    <w:rsid w:val="00926D0E"/>
    <w:rPr>
      <w:i/>
      <w:iCs/>
      <w:color w:val="404040" w:themeColor="text1" w:themeTint="BF"/>
    </w:rPr>
  </w:style>
  <w:style w:type="paragraph" w:styleId="ListParagraph">
    <w:name w:val="List Paragraph"/>
    <w:basedOn w:val="Normal"/>
    <w:uiPriority w:val="34"/>
    <w:qFormat/>
    <w:rsid w:val="00926D0E"/>
    <w:pPr>
      <w:ind w:left="720"/>
      <w:contextualSpacing/>
    </w:pPr>
  </w:style>
  <w:style w:type="character" w:styleId="IntenseEmphasis">
    <w:name w:val="Intense Emphasis"/>
    <w:basedOn w:val="DefaultParagraphFont"/>
    <w:uiPriority w:val="21"/>
    <w:qFormat/>
    <w:rsid w:val="00926D0E"/>
    <w:rPr>
      <w:i/>
      <w:iCs/>
      <w:color w:val="0F4761" w:themeColor="accent1" w:themeShade="BF"/>
    </w:rPr>
  </w:style>
  <w:style w:type="paragraph" w:styleId="IntenseQuote">
    <w:name w:val="Intense Quote"/>
    <w:basedOn w:val="Normal"/>
    <w:next w:val="Normal"/>
    <w:link w:val="IntenseQuoteChar"/>
    <w:uiPriority w:val="30"/>
    <w:qFormat/>
    <w:rsid w:val="00926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D0E"/>
    <w:rPr>
      <w:i/>
      <w:iCs/>
      <w:color w:val="0F4761" w:themeColor="accent1" w:themeShade="BF"/>
    </w:rPr>
  </w:style>
  <w:style w:type="character" w:styleId="IntenseReference">
    <w:name w:val="Intense Reference"/>
    <w:basedOn w:val="DefaultParagraphFont"/>
    <w:uiPriority w:val="32"/>
    <w:qFormat/>
    <w:rsid w:val="00926D0E"/>
    <w:rPr>
      <w:b/>
      <w:bCs/>
      <w:smallCaps/>
      <w:color w:val="0F4761" w:themeColor="accent1" w:themeShade="BF"/>
      <w:spacing w:val="5"/>
    </w:rPr>
  </w:style>
  <w:style w:type="paragraph" w:styleId="Revision">
    <w:name w:val="Revision"/>
    <w:hidden/>
    <w:uiPriority w:val="99"/>
    <w:semiHidden/>
    <w:rsid w:val="006513ED"/>
    <w:pPr>
      <w:spacing w:after="0" w:line="240" w:lineRule="auto"/>
    </w:pPr>
  </w:style>
  <w:style w:type="character" w:styleId="CommentReference">
    <w:name w:val="annotation reference"/>
    <w:basedOn w:val="DefaultParagraphFont"/>
    <w:uiPriority w:val="99"/>
    <w:semiHidden/>
    <w:unhideWhenUsed/>
    <w:rsid w:val="00881DAC"/>
    <w:rPr>
      <w:sz w:val="16"/>
      <w:szCs w:val="16"/>
    </w:rPr>
  </w:style>
  <w:style w:type="paragraph" w:styleId="CommentText">
    <w:name w:val="annotation text"/>
    <w:basedOn w:val="Normal"/>
    <w:link w:val="CommentTextChar"/>
    <w:uiPriority w:val="99"/>
    <w:unhideWhenUsed/>
    <w:rsid w:val="00881DAC"/>
    <w:pPr>
      <w:spacing w:line="240" w:lineRule="auto"/>
    </w:pPr>
    <w:rPr>
      <w:sz w:val="20"/>
      <w:szCs w:val="20"/>
    </w:rPr>
  </w:style>
  <w:style w:type="character" w:customStyle="1" w:styleId="CommentTextChar">
    <w:name w:val="Comment Text Char"/>
    <w:basedOn w:val="DefaultParagraphFont"/>
    <w:link w:val="CommentText"/>
    <w:uiPriority w:val="99"/>
    <w:rsid w:val="00881DAC"/>
    <w:rPr>
      <w:sz w:val="20"/>
      <w:szCs w:val="20"/>
    </w:rPr>
  </w:style>
  <w:style w:type="paragraph" w:styleId="CommentSubject">
    <w:name w:val="annotation subject"/>
    <w:basedOn w:val="CommentText"/>
    <w:next w:val="CommentText"/>
    <w:link w:val="CommentSubjectChar"/>
    <w:uiPriority w:val="99"/>
    <w:semiHidden/>
    <w:unhideWhenUsed/>
    <w:rsid w:val="00881DAC"/>
    <w:rPr>
      <w:b/>
      <w:bCs/>
    </w:rPr>
  </w:style>
  <w:style w:type="character" w:customStyle="1" w:styleId="CommentSubjectChar">
    <w:name w:val="Comment Subject Char"/>
    <w:basedOn w:val="CommentTextChar"/>
    <w:link w:val="CommentSubject"/>
    <w:uiPriority w:val="99"/>
    <w:semiHidden/>
    <w:rsid w:val="00881DAC"/>
    <w:rPr>
      <w:b/>
      <w:bCs/>
      <w:sz w:val="20"/>
      <w:szCs w:val="20"/>
    </w:rPr>
  </w:style>
  <w:style w:type="character" w:styleId="Hyperlink">
    <w:name w:val="Hyperlink"/>
    <w:basedOn w:val="DefaultParagraphFont"/>
    <w:uiPriority w:val="99"/>
    <w:unhideWhenUsed/>
    <w:rsid w:val="001256A0"/>
    <w:rPr>
      <w:color w:val="467886" w:themeColor="hyperlink"/>
      <w:u w:val="single"/>
    </w:rPr>
  </w:style>
  <w:style w:type="character" w:styleId="UnresolvedMention">
    <w:name w:val="Unresolved Mention"/>
    <w:basedOn w:val="DefaultParagraphFont"/>
    <w:uiPriority w:val="99"/>
    <w:semiHidden/>
    <w:unhideWhenUsed/>
    <w:rsid w:val="00125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hyperlink" Target="https://blogs.reading.ac.uk/app-evaluation-blog/2026/09/09/whats-driving-non-continuation-learnings-from-the-app-calling-campaigns-ac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EC2EF524417429D8FE39BD24BA306" ma:contentTypeVersion="18" ma:contentTypeDescription="Create a new document." ma:contentTypeScope="" ma:versionID="4ccbffc93a49614b82cd8e8230686dca">
  <xsd:schema xmlns:xsd="http://www.w3.org/2001/XMLSchema" xmlns:xs="http://www.w3.org/2001/XMLSchema" xmlns:p="http://schemas.microsoft.com/office/2006/metadata/properties" xmlns:ns2="e78cdbbc-c0fb-49c5-a759-1d20a53f2073" xmlns:ns3="d1e0c11c-5dc2-47c4-8759-212542bab8f5" targetNamespace="http://schemas.microsoft.com/office/2006/metadata/properties" ma:root="true" ma:fieldsID="d80f96ecd96d90bfa94aeeabcb87a0d5" ns2:_="" ns3:_="">
    <xsd:import namespace="e78cdbbc-c0fb-49c5-a759-1d20a53f2073"/>
    <xsd:import namespace="d1e0c11c-5dc2-47c4-8759-212542bab8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cdbbc-c0fb-49c5-a759-1d20a53f2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8cd521b-c766-495a-bf72-da9be8cb7f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e0c11c-5dc2-47c4-8759-212542bab8f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6ec8c70-bc80-45d5-8602-0f0182602305}" ma:internalName="TaxCatchAll" ma:showField="CatchAllData" ma:web="d1e0c11c-5dc2-47c4-8759-212542bab8f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1e0c11c-5dc2-47c4-8759-212542bab8f5" xsi:nil="true"/>
    <lcf76f155ced4ddcb4097134ff3c332f xmlns="e78cdbbc-c0fb-49c5-a759-1d20a53f2073">
      <Terms xmlns="http://schemas.microsoft.com/office/infopath/2007/PartnerControls"/>
    </lcf76f155ced4ddcb4097134ff3c332f>
    <SharedWithUsers xmlns="d1e0c11c-5dc2-47c4-8759-212542bab8f5">
      <UserInfo>
        <DisplayName/>
        <AccountId xsi:nil="true"/>
        <AccountType/>
      </UserInfo>
    </SharedWithUsers>
  </documentManagement>
</p:properties>
</file>

<file path=customXml/itemProps1.xml><?xml version="1.0" encoding="utf-8"?>
<ds:datastoreItem xmlns:ds="http://schemas.openxmlformats.org/officeDocument/2006/customXml" ds:itemID="{AC214C2F-B3CE-44B1-9944-B2662EDAC0F9}"/>
</file>

<file path=customXml/itemProps2.xml><?xml version="1.0" encoding="utf-8"?>
<ds:datastoreItem xmlns:ds="http://schemas.openxmlformats.org/officeDocument/2006/customXml" ds:itemID="{E07CE338-8A06-4DE1-B1B9-542DEDC63954}">
  <ds:schemaRefs>
    <ds:schemaRef ds:uri="http://schemas.microsoft.com/sharepoint/v3/contenttype/forms"/>
  </ds:schemaRefs>
</ds:datastoreItem>
</file>

<file path=customXml/itemProps3.xml><?xml version="1.0" encoding="utf-8"?>
<ds:datastoreItem xmlns:ds="http://schemas.openxmlformats.org/officeDocument/2006/customXml" ds:itemID="{FBAE3CCC-9180-49FE-B019-9398E417B83B}">
  <ds:schemaRefs>
    <ds:schemaRef ds:uri="http://schemas.openxmlformats.org/officeDocument/2006/bibliography"/>
  </ds:schemaRefs>
</ds:datastoreItem>
</file>

<file path=customXml/itemProps4.xml><?xml version="1.0" encoding="utf-8"?>
<ds:datastoreItem xmlns:ds="http://schemas.openxmlformats.org/officeDocument/2006/customXml" ds:itemID="{899463E2-CB04-4CC4-BB37-9E67BAF3A59C}">
  <ds:schemaRefs>
    <ds:schemaRef ds:uri="http://schemas.microsoft.com/office/2006/metadata/properties"/>
    <ds:schemaRef ds:uri="http://schemas.microsoft.com/office/infopath/2007/PartnerControls"/>
    <ds:schemaRef ds:uri="fb7715d5-de9b-4535-86df-8704394bd570"/>
    <ds:schemaRef ds:uri="282a0123-3f51-41cb-aa2d-5b1ec3842b1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3802</Characters>
  <Application>Microsoft Office Word</Application>
  <DocSecurity>2</DocSecurity>
  <Lines>31</Lines>
  <Paragraphs>8</Paragraphs>
  <ScaleCrop>false</ScaleCrop>
  <HeadingPairs>
    <vt:vector size="2" baseType="variant">
      <vt:variant>
        <vt:lpstr>Title</vt:lpstr>
      </vt:variant>
      <vt:variant>
        <vt:i4>1</vt:i4>
      </vt:variant>
    </vt:vector>
  </HeadingPairs>
  <TitlesOfParts>
    <vt:vector size="1" baseType="lpstr">
      <vt:lpstr>APP Evaluation - Calling Campaigns progress blog September 2026</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 Evaluation - Calling Campaigns progress blog September 2026</dc:title>
  <dc:subject/>
  <dc:creator>Mathew Haine</dc:creator>
  <cp:keywords/>
  <dc:description/>
  <cp:lastModifiedBy>Lydia Fletcher</cp:lastModifiedBy>
  <cp:revision>4</cp:revision>
  <dcterms:created xsi:type="dcterms:W3CDTF">2026-10-08T16:51:00Z</dcterms:created>
  <dcterms:modified xsi:type="dcterms:W3CDTF">2026-10-08T16:52:00Z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0x010100666EC2EF524417429D8FE39BD24BA306</vt:lpwstr>
  </property>
  <property fmtid="{D5CDD505-2E9C-101B-9397-08002B2CF9AE}" pid="3" name="Order">
    <vt:r8>7956300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y fmtid="{D5CDD505-2E9C-101B-9397-08002B2CF9AE}" pid="8" name="_MarkAsFinal">
    <vt:bool>true</vt:bool>
  </property>
</Properties>
</file>