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C1A0" w14:textId="75C01F5F" w:rsidR="00AA47AB" w:rsidRPr="00B815DF" w:rsidRDefault="00D83D9D" w:rsidP="00B01150">
      <w:pPr>
        <w:pStyle w:val="UoRTitle"/>
      </w:pPr>
      <w:r>
        <w:t>F</w:t>
      </w:r>
      <w:r w:rsidR="00B01150">
        <w:t>inancial support packages</w:t>
      </w:r>
      <w:r w:rsidR="009411C9">
        <w:t>: Evaluation report</w:t>
      </w:r>
    </w:p>
    <w:p w14:paraId="25844782" w14:textId="50AE934F" w:rsidR="00B024E6" w:rsidRDefault="00B01150" w:rsidP="00E96A4B">
      <w:pPr>
        <w:pStyle w:val="UoRSubtitle"/>
        <w:tabs>
          <w:tab w:val="left" w:pos="6096"/>
        </w:tabs>
        <w:rPr>
          <w:sz w:val="24"/>
          <w:szCs w:val="24"/>
        </w:rPr>
      </w:pPr>
      <w:r w:rsidRPr="00B01150">
        <w:rPr>
          <w:sz w:val="24"/>
          <w:szCs w:val="24"/>
        </w:rPr>
        <w:t>Matt Daley</w:t>
      </w:r>
      <w:r w:rsidR="00D22E00">
        <w:rPr>
          <w:sz w:val="24"/>
          <w:szCs w:val="24"/>
        </w:rPr>
        <w:t xml:space="preserve"> (</w:t>
      </w:r>
      <w:r>
        <w:rPr>
          <w:sz w:val="24"/>
          <w:szCs w:val="24"/>
        </w:rPr>
        <w:t>Student Services</w:t>
      </w:r>
      <w:r w:rsidR="00D22E00">
        <w:rPr>
          <w:sz w:val="24"/>
          <w:szCs w:val="24"/>
        </w:rPr>
        <w:t>)</w:t>
      </w:r>
      <w:r w:rsidR="00FE557F">
        <w:rPr>
          <w:sz w:val="24"/>
          <w:szCs w:val="24"/>
        </w:rPr>
        <w:t>, Sam Faulkn</w:t>
      </w:r>
      <w:r w:rsidR="008331BC">
        <w:rPr>
          <w:sz w:val="24"/>
          <w:szCs w:val="24"/>
        </w:rPr>
        <w:t>all-Mills &amp; Chris Tye (</w:t>
      </w:r>
      <w:r w:rsidR="002C7314">
        <w:rPr>
          <w:sz w:val="24"/>
          <w:szCs w:val="24"/>
        </w:rPr>
        <w:t>Planning and Strategy Office)</w:t>
      </w:r>
    </w:p>
    <w:p w14:paraId="37A145E2" w14:textId="1BF193EE" w:rsidR="00E96A4B" w:rsidRPr="00E96A4B" w:rsidRDefault="00DD5507" w:rsidP="00E96A4B">
      <w:pPr>
        <w:pStyle w:val="UoRSubtitle"/>
        <w:tabs>
          <w:tab w:val="left" w:pos="6096"/>
        </w:tabs>
        <w:rPr>
          <w:sz w:val="24"/>
          <w:szCs w:val="24"/>
        </w:rPr>
      </w:pPr>
      <w:r>
        <w:rPr>
          <w:sz w:val="24"/>
          <w:szCs w:val="24"/>
        </w:rPr>
        <w:t>April</w:t>
      </w:r>
      <w:r w:rsidR="4DD38DC9" w:rsidRPr="63954299">
        <w:rPr>
          <w:sz w:val="24"/>
          <w:szCs w:val="24"/>
        </w:rPr>
        <w:t xml:space="preserve"> 2026</w:t>
      </w:r>
    </w:p>
    <w:sdt>
      <w:sdtPr>
        <w:rPr>
          <w:rFonts w:ascii="Arial" w:eastAsia="Times New Roman" w:hAnsi="Arial" w:cs="Times New Roman"/>
          <w:b w:val="0"/>
          <w:bCs w:val="0"/>
          <w:color w:val="auto"/>
          <w:sz w:val="24"/>
          <w:szCs w:val="22"/>
          <w:lang w:eastAsia="en-GB"/>
        </w:rPr>
        <w:id w:val="823216302"/>
        <w:docPartObj>
          <w:docPartGallery w:val="Table of Contents"/>
          <w:docPartUnique/>
        </w:docPartObj>
      </w:sdtPr>
      <w:sdtEndPr>
        <w:rPr>
          <w:szCs w:val="24"/>
        </w:rPr>
      </w:sdtEndPr>
      <w:sdtContent>
        <w:p w14:paraId="6BFCC1E8" w14:textId="0E0123BC" w:rsidR="00FD07F5" w:rsidRDefault="00FD07F5">
          <w:pPr>
            <w:pStyle w:val="TOCHeading"/>
          </w:pPr>
          <w:r>
            <w:t>Contents</w:t>
          </w:r>
        </w:p>
        <w:p w14:paraId="300D46F6" w14:textId="71BF364E" w:rsidR="0015425F" w:rsidRDefault="005177F3">
          <w:pPr>
            <w:pStyle w:val="TOC1"/>
            <w:rPr>
              <w:rFonts w:asciiTheme="minorHAnsi" w:eastAsiaTheme="minorEastAsia" w:hAnsiTheme="minorHAnsi" w:cstheme="minorBidi"/>
              <w:noProof/>
              <w:kern w:val="2"/>
              <w:szCs w:val="24"/>
              <w14:ligatures w14:val="standardContextual"/>
            </w:rPr>
          </w:pPr>
          <w:r>
            <w:fldChar w:fldCharType="begin"/>
          </w:r>
          <w:r w:rsidR="00FD07F5">
            <w:instrText>TOC \o "1-3" \h \z \u</w:instrText>
          </w:r>
          <w:r>
            <w:fldChar w:fldCharType="separate"/>
          </w:r>
          <w:hyperlink w:anchor="_Toc225952920" w:history="1">
            <w:r w:rsidR="0015425F" w:rsidRPr="003865B2">
              <w:rPr>
                <w:rStyle w:val="Hyperlink"/>
                <w:noProof/>
              </w:rPr>
              <w:t>Executive Summary</w:t>
            </w:r>
            <w:r w:rsidR="0015425F">
              <w:rPr>
                <w:noProof/>
                <w:webHidden/>
              </w:rPr>
              <w:tab/>
            </w:r>
            <w:r w:rsidR="0015425F">
              <w:rPr>
                <w:noProof/>
                <w:webHidden/>
              </w:rPr>
              <w:fldChar w:fldCharType="begin"/>
            </w:r>
            <w:r w:rsidR="0015425F">
              <w:rPr>
                <w:noProof/>
                <w:webHidden/>
              </w:rPr>
              <w:instrText xml:space="preserve"> PAGEREF _Toc225952920 \h </w:instrText>
            </w:r>
            <w:r w:rsidR="0015425F">
              <w:rPr>
                <w:noProof/>
                <w:webHidden/>
              </w:rPr>
            </w:r>
            <w:r w:rsidR="0015425F">
              <w:rPr>
                <w:noProof/>
                <w:webHidden/>
              </w:rPr>
              <w:fldChar w:fldCharType="separate"/>
            </w:r>
            <w:r w:rsidR="0015425F">
              <w:rPr>
                <w:noProof/>
                <w:webHidden/>
              </w:rPr>
              <w:t>2</w:t>
            </w:r>
            <w:r w:rsidR="0015425F">
              <w:rPr>
                <w:noProof/>
                <w:webHidden/>
              </w:rPr>
              <w:fldChar w:fldCharType="end"/>
            </w:r>
          </w:hyperlink>
        </w:p>
        <w:p w14:paraId="086815ED" w14:textId="5E53373E" w:rsidR="0015425F" w:rsidRDefault="0015425F">
          <w:pPr>
            <w:pStyle w:val="TOC1"/>
            <w:rPr>
              <w:rFonts w:asciiTheme="minorHAnsi" w:eastAsiaTheme="minorEastAsia" w:hAnsiTheme="minorHAnsi" w:cstheme="minorBidi"/>
              <w:noProof/>
              <w:kern w:val="2"/>
              <w:szCs w:val="24"/>
              <w14:ligatures w14:val="standardContextual"/>
            </w:rPr>
          </w:pPr>
          <w:hyperlink w:anchor="_Toc225952921" w:history="1">
            <w:r w:rsidRPr="003865B2">
              <w:rPr>
                <w:rStyle w:val="Hyperlink"/>
                <w:noProof/>
              </w:rPr>
              <w:t>Introduction</w:t>
            </w:r>
            <w:r>
              <w:rPr>
                <w:noProof/>
                <w:webHidden/>
              </w:rPr>
              <w:tab/>
            </w:r>
            <w:r>
              <w:rPr>
                <w:noProof/>
                <w:webHidden/>
              </w:rPr>
              <w:fldChar w:fldCharType="begin"/>
            </w:r>
            <w:r>
              <w:rPr>
                <w:noProof/>
                <w:webHidden/>
              </w:rPr>
              <w:instrText xml:space="preserve"> PAGEREF _Toc225952921 \h </w:instrText>
            </w:r>
            <w:r>
              <w:rPr>
                <w:noProof/>
                <w:webHidden/>
              </w:rPr>
            </w:r>
            <w:r>
              <w:rPr>
                <w:noProof/>
                <w:webHidden/>
              </w:rPr>
              <w:fldChar w:fldCharType="separate"/>
            </w:r>
            <w:r>
              <w:rPr>
                <w:noProof/>
                <w:webHidden/>
              </w:rPr>
              <w:t>3</w:t>
            </w:r>
            <w:r>
              <w:rPr>
                <w:noProof/>
                <w:webHidden/>
              </w:rPr>
              <w:fldChar w:fldCharType="end"/>
            </w:r>
          </w:hyperlink>
        </w:p>
        <w:p w14:paraId="1C1DCE50" w14:textId="488529DF"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22" w:history="1">
            <w:r w:rsidRPr="003865B2">
              <w:rPr>
                <w:rStyle w:val="Hyperlink"/>
                <w:noProof/>
              </w:rPr>
              <w:t>Rationale</w:t>
            </w:r>
            <w:r>
              <w:rPr>
                <w:noProof/>
                <w:webHidden/>
              </w:rPr>
              <w:tab/>
            </w:r>
            <w:r>
              <w:rPr>
                <w:noProof/>
                <w:webHidden/>
              </w:rPr>
              <w:fldChar w:fldCharType="begin"/>
            </w:r>
            <w:r>
              <w:rPr>
                <w:noProof/>
                <w:webHidden/>
              </w:rPr>
              <w:instrText xml:space="preserve"> PAGEREF _Toc225952922 \h </w:instrText>
            </w:r>
            <w:r>
              <w:rPr>
                <w:noProof/>
                <w:webHidden/>
              </w:rPr>
            </w:r>
            <w:r>
              <w:rPr>
                <w:noProof/>
                <w:webHidden/>
              </w:rPr>
              <w:fldChar w:fldCharType="separate"/>
            </w:r>
            <w:r>
              <w:rPr>
                <w:noProof/>
                <w:webHidden/>
              </w:rPr>
              <w:t>3</w:t>
            </w:r>
            <w:r>
              <w:rPr>
                <w:noProof/>
                <w:webHidden/>
              </w:rPr>
              <w:fldChar w:fldCharType="end"/>
            </w:r>
          </w:hyperlink>
        </w:p>
        <w:p w14:paraId="3E8082CB" w14:textId="31C66C45"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23" w:history="1">
            <w:r w:rsidRPr="003865B2">
              <w:rPr>
                <w:rStyle w:val="Hyperlink"/>
                <w:noProof/>
              </w:rPr>
              <w:t>Intervention</w:t>
            </w:r>
            <w:r>
              <w:rPr>
                <w:noProof/>
                <w:webHidden/>
              </w:rPr>
              <w:tab/>
            </w:r>
            <w:r>
              <w:rPr>
                <w:noProof/>
                <w:webHidden/>
              </w:rPr>
              <w:fldChar w:fldCharType="begin"/>
            </w:r>
            <w:r>
              <w:rPr>
                <w:noProof/>
                <w:webHidden/>
              </w:rPr>
              <w:instrText xml:space="preserve"> PAGEREF _Toc225952923 \h </w:instrText>
            </w:r>
            <w:r>
              <w:rPr>
                <w:noProof/>
                <w:webHidden/>
              </w:rPr>
            </w:r>
            <w:r>
              <w:rPr>
                <w:noProof/>
                <w:webHidden/>
              </w:rPr>
              <w:fldChar w:fldCharType="separate"/>
            </w:r>
            <w:r>
              <w:rPr>
                <w:noProof/>
                <w:webHidden/>
              </w:rPr>
              <w:t>3</w:t>
            </w:r>
            <w:r>
              <w:rPr>
                <w:noProof/>
                <w:webHidden/>
              </w:rPr>
              <w:fldChar w:fldCharType="end"/>
            </w:r>
          </w:hyperlink>
        </w:p>
        <w:p w14:paraId="63267445" w14:textId="0A8AAEB9"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24" w:history="1">
            <w:r w:rsidRPr="003865B2">
              <w:rPr>
                <w:rStyle w:val="Hyperlink"/>
                <w:noProof/>
              </w:rPr>
              <w:t>Context</w:t>
            </w:r>
            <w:r>
              <w:rPr>
                <w:noProof/>
                <w:webHidden/>
              </w:rPr>
              <w:tab/>
            </w:r>
            <w:r>
              <w:rPr>
                <w:noProof/>
                <w:webHidden/>
              </w:rPr>
              <w:fldChar w:fldCharType="begin"/>
            </w:r>
            <w:r>
              <w:rPr>
                <w:noProof/>
                <w:webHidden/>
              </w:rPr>
              <w:instrText xml:space="preserve"> PAGEREF _Toc225952924 \h </w:instrText>
            </w:r>
            <w:r>
              <w:rPr>
                <w:noProof/>
                <w:webHidden/>
              </w:rPr>
            </w:r>
            <w:r>
              <w:rPr>
                <w:noProof/>
                <w:webHidden/>
              </w:rPr>
              <w:fldChar w:fldCharType="separate"/>
            </w:r>
            <w:r>
              <w:rPr>
                <w:noProof/>
                <w:webHidden/>
              </w:rPr>
              <w:t>3</w:t>
            </w:r>
            <w:r>
              <w:rPr>
                <w:noProof/>
                <w:webHidden/>
              </w:rPr>
              <w:fldChar w:fldCharType="end"/>
            </w:r>
          </w:hyperlink>
        </w:p>
        <w:p w14:paraId="554762B1" w14:textId="75F47133"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25" w:history="1">
            <w:r w:rsidRPr="003865B2">
              <w:rPr>
                <w:rStyle w:val="Hyperlink"/>
                <w:noProof/>
              </w:rPr>
              <w:t>Link to Access &amp; Participation Plan (APP)</w:t>
            </w:r>
            <w:r>
              <w:rPr>
                <w:noProof/>
                <w:webHidden/>
              </w:rPr>
              <w:tab/>
            </w:r>
            <w:r>
              <w:rPr>
                <w:noProof/>
                <w:webHidden/>
              </w:rPr>
              <w:fldChar w:fldCharType="begin"/>
            </w:r>
            <w:r>
              <w:rPr>
                <w:noProof/>
                <w:webHidden/>
              </w:rPr>
              <w:instrText xml:space="preserve"> PAGEREF _Toc225952925 \h </w:instrText>
            </w:r>
            <w:r>
              <w:rPr>
                <w:noProof/>
                <w:webHidden/>
              </w:rPr>
            </w:r>
            <w:r>
              <w:rPr>
                <w:noProof/>
                <w:webHidden/>
              </w:rPr>
              <w:fldChar w:fldCharType="separate"/>
            </w:r>
            <w:r>
              <w:rPr>
                <w:noProof/>
                <w:webHidden/>
              </w:rPr>
              <w:t>3</w:t>
            </w:r>
            <w:r>
              <w:rPr>
                <w:noProof/>
                <w:webHidden/>
              </w:rPr>
              <w:fldChar w:fldCharType="end"/>
            </w:r>
          </w:hyperlink>
        </w:p>
        <w:p w14:paraId="2EA20229" w14:textId="618BB072"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26" w:history="1">
            <w:r w:rsidRPr="003865B2">
              <w:rPr>
                <w:rStyle w:val="Hyperlink"/>
                <w:noProof/>
              </w:rPr>
              <w:t>Previous evaluation</w:t>
            </w:r>
            <w:r>
              <w:rPr>
                <w:noProof/>
                <w:webHidden/>
              </w:rPr>
              <w:tab/>
            </w:r>
            <w:r>
              <w:rPr>
                <w:noProof/>
                <w:webHidden/>
              </w:rPr>
              <w:fldChar w:fldCharType="begin"/>
            </w:r>
            <w:r>
              <w:rPr>
                <w:noProof/>
                <w:webHidden/>
              </w:rPr>
              <w:instrText xml:space="preserve"> PAGEREF _Toc225952926 \h </w:instrText>
            </w:r>
            <w:r>
              <w:rPr>
                <w:noProof/>
                <w:webHidden/>
              </w:rPr>
            </w:r>
            <w:r>
              <w:rPr>
                <w:noProof/>
                <w:webHidden/>
              </w:rPr>
              <w:fldChar w:fldCharType="separate"/>
            </w:r>
            <w:r>
              <w:rPr>
                <w:noProof/>
                <w:webHidden/>
              </w:rPr>
              <w:t>3</w:t>
            </w:r>
            <w:r>
              <w:rPr>
                <w:noProof/>
                <w:webHidden/>
              </w:rPr>
              <w:fldChar w:fldCharType="end"/>
            </w:r>
          </w:hyperlink>
        </w:p>
        <w:p w14:paraId="18399AEA" w14:textId="70609783" w:rsidR="0015425F" w:rsidRDefault="0015425F">
          <w:pPr>
            <w:pStyle w:val="TOC1"/>
            <w:rPr>
              <w:rFonts w:asciiTheme="minorHAnsi" w:eastAsiaTheme="minorEastAsia" w:hAnsiTheme="minorHAnsi" w:cstheme="minorBidi"/>
              <w:noProof/>
              <w:kern w:val="2"/>
              <w:szCs w:val="24"/>
              <w14:ligatures w14:val="standardContextual"/>
            </w:rPr>
          </w:pPr>
          <w:hyperlink w:anchor="_Toc225952927" w:history="1">
            <w:r w:rsidRPr="003865B2">
              <w:rPr>
                <w:rStyle w:val="Hyperlink"/>
                <w:noProof/>
              </w:rPr>
              <w:t>Methodology</w:t>
            </w:r>
            <w:r>
              <w:rPr>
                <w:noProof/>
                <w:webHidden/>
              </w:rPr>
              <w:tab/>
            </w:r>
            <w:r>
              <w:rPr>
                <w:noProof/>
                <w:webHidden/>
              </w:rPr>
              <w:fldChar w:fldCharType="begin"/>
            </w:r>
            <w:r>
              <w:rPr>
                <w:noProof/>
                <w:webHidden/>
              </w:rPr>
              <w:instrText xml:space="preserve"> PAGEREF _Toc225952927 \h </w:instrText>
            </w:r>
            <w:r>
              <w:rPr>
                <w:noProof/>
                <w:webHidden/>
              </w:rPr>
            </w:r>
            <w:r>
              <w:rPr>
                <w:noProof/>
                <w:webHidden/>
              </w:rPr>
              <w:fldChar w:fldCharType="separate"/>
            </w:r>
            <w:r>
              <w:rPr>
                <w:noProof/>
                <w:webHidden/>
              </w:rPr>
              <w:t>4</w:t>
            </w:r>
            <w:r>
              <w:rPr>
                <w:noProof/>
                <w:webHidden/>
              </w:rPr>
              <w:fldChar w:fldCharType="end"/>
            </w:r>
          </w:hyperlink>
        </w:p>
        <w:p w14:paraId="74F8C970" w14:textId="00D039D9"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28" w:history="1">
            <w:r w:rsidRPr="003865B2">
              <w:rPr>
                <w:rStyle w:val="Hyperlink"/>
                <w:noProof/>
              </w:rPr>
              <w:t>Research questions</w:t>
            </w:r>
            <w:r>
              <w:rPr>
                <w:noProof/>
                <w:webHidden/>
              </w:rPr>
              <w:tab/>
            </w:r>
            <w:r>
              <w:rPr>
                <w:noProof/>
                <w:webHidden/>
              </w:rPr>
              <w:fldChar w:fldCharType="begin"/>
            </w:r>
            <w:r>
              <w:rPr>
                <w:noProof/>
                <w:webHidden/>
              </w:rPr>
              <w:instrText xml:space="preserve"> PAGEREF _Toc225952928 \h </w:instrText>
            </w:r>
            <w:r>
              <w:rPr>
                <w:noProof/>
                <w:webHidden/>
              </w:rPr>
            </w:r>
            <w:r>
              <w:rPr>
                <w:noProof/>
                <w:webHidden/>
              </w:rPr>
              <w:fldChar w:fldCharType="separate"/>
            </w:r>
            <w:r>
              <w:rPr>
                <w:noProof/>
                <w:webHidden/>
              </w:rPr>
              <w:t>4</w:t>
            </w:r>
            <w:r>
              <w:rPr>
                <w:noProof/>
                <w:webHidden/>
              </w:rPr>
              <w:fldChar w:fldCharType="end"/>
            </w:r>
          </w:hyperlink>
        </w:p>
        <w:p w14:paraId="0754C401" w14:textId="134879D1"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29" w:history="1">
            <w:r w:rsidRPr="003865B2">
              <w:rPr>
                <w:rStyle w:val="Hyperlink"/>
                <w:noProof/>
              </w:rPr>
              <w:t>Participants</w:t>
            </w:r>
            <w:r>
              <w:rPr>
                <w:noProof/>
                <w:webHidden/>
              </w:rPr>
              <w:tab/>
            </w:r>
            <w:r>
              <w:rPr>
                <w:noProof/>
                <w:webHidden/>
              </w:rPr>
              <w:fldChar w:fldCharType="begin"/>
            </w:r>
            <w:r>
              <w:rPr>
                <w:noProof/>
                <w:webHidden/>
              </w:rPr>
              <w:instrText xml:space="preserve"> PAGEREF _Toc225952929 \h </w:instrText>
            </w:r>
            <w:r>
              <w:rPr>
                <w:noProof/>
                <w:webHidden/>
              </w:rPr>
            </w:r>
            <w:r>
              <w:rPr>
                <w:noProof/>
                <w:webHidden/>
              </w:rPr>
              <w:fldChar w:fldCharType="separate"/>
            </w:r>
            <w:r>
              <w:rPr>
                <w:noProof/>
                <w:webHidden/>
              </w:rPr>
              <w:t>4</w:t>
            </w:r>
            <w:r>
              <w:rPr>
                <w:noProof/>
                <w:webHidden/>
              </w:rPr>
              <w:fldChar w:fldCharType="end"/>
            </w:r>
          </w:hyperlink>
        </w:p>
        <w:p w14:paraId="59F006A5" w14:textId="72782C08"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0" w:history="1">
            <w:r w:rsidRPr="003865B2">
              <w:rPr>
                <w:rStyle w:val="Hyperlink"/>
                <w:noProof/>
              </w:rPr>
              <w:t>Data collection</w:t>
            </w:r>
            <w:r>
              <w:rPr>
                <w:noProof/>
                <w:webHidden/>
              </w:rPr>
              <w:tab/>
            </w:r>
            <w:r>
              <w:rPr>
                <w:noProof/>
                <w:webHidden/>
              </w:rPr>
              <w:fldChar w:fldCharType="begin"/>
            </w:r>
            <w:r>
              <w:rPr>
                <w:noProof/>
                <w:webHidden/>
              </w:rPr>
              <w:instrText xml:space="preserve"> PAGEREF _Toc225952930 \h </w:instrText>
            </w:r>
            <w:r>
              <w:rPr>
                <w:noProof/>
                <w:webHidden/>
              </w:rPr>
            </w:r>
            <w:r>
              <w:rPr>
                <w:noProof/>
                <w:webHidden/>
              </w:rPr>
              <w:fldChar w:fldCharType="separate"/>
            </w:r>
            <w:r>
              <w:rPr>
                <w:noProof/>
                <w:webHidden/>
              </w:rPr>
              <w:t>5</w:t>
            </w:r>
            <w:r>
              <w:rPr>
                <w:noProof/>
                <w:webHidden/>
              </w:rPr>
              <w:fldChar w:fldCharType="end"/>
            </w:r>
          </w:hyperlink>
        </w:p>
        <w:p w14:paraId="683BCF31" w14:textId="750734EB"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1" w:history="1">
            <w:r w:rsidRPr="003865B2">
              <w:rPr>
                <w:rStyle w:val="Hyperlink"/>
                <w:noProof/>
              </w:rPr>
              <w:t>Analysis</w:t>
            </w:r>
            <w:r>
              <w:rPr>
                <w:noProof/>
                <w:webHidden/>
              </w:rPr>
              <w:tab/>
            </w:r>
            <w:r>
              <w:rPr>
                <w:noProof/>
                <w:webHidden/>
              </w:rPr>
              <w:fldChar w:fldCharType="begin"/>
            </w:r>
            <w:r>
              <w:rPr>
                <w:noProof/>
                <w:webHidden/>
              </w:rPr>
              <w:instrText xml:space="preserve"> PAGEREF _Toc225952931 \h </w:instrText>
            </w:r>
            <w:r>
              <w:rPr>
                <w:noProof/>
                <w:webHidden/>
              </w:rPr>
            </w:r>
            <w:r>
              <w:rPr>
                <w:noProof/>
                <w:webHidden/>
              </w:rPr>
              <w:fldChar w:fldCharType="separate"/>
            </w:r>
            <w:r>
              <w:rPr>
                <w:noProof/>
                <w:webHidden/>
              </w:rPr>
              <w:t>9</w:t>
            </w:r>
            <w:r>
              <w:rPr>
                <w:noProof/>
                <w:webHidden/>
              </w:rPr>
              <w:fldChar w:fldCharType="end"/>
            </w:r>
          </w:hyperlink>
        </w:p>
        <w:p w14:paraId="5988702D" w14:textId="2463C226"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2" w:history="1">
            <w:r w:rsidRPr="003865B2">
              <w:rPr>
                <w:rStyle w:val="Hyperlink"/>
                <w:noProof/>
              </w:rPr>
              <w:t>Ethics and Data Security</w:t>
            </w:r>
            <w:r>
              <w:rPr>
                <w:noProof/>
                <w:webHidden/>
              </w:rPr>
              <w:tab/>
            </w:r>
            <w:r>
              <w:rPr>
                <w:noProof/>
                <w:webHidden/>
              </w:rPr>
              <w:fldChar w:fldCharType="begin"/>
            </w:r>
            <w:r>
              <w:rPr>
                <w:noProof/>
                <w:webHidden/>
              </w:rPr>
              <w:instrText xml:space="preserve"> PAGEREF _Toc225952932 \h </w:instrText>
            </w:r>
            <w:r>
              <w:rPr>
                <w:noProof/>
                <w:webHidden/>
              </w:rPr>
            </w:r>
            <w:r>
              <w:rPr>
                <w:noProof/>
                <w:webHidden/>
              </w:rPr>
              <w:fldChar w:fldCharType="separate"/>
            </w:r>
            <w:r>
              <w:rPr>
                <w:noProof/>
                <w:webHidden/>
              </w:rPr>
              <w:t>10</w:t>
            </w:r>
            <w:r>
              <w:rPr>
                <w:noProof/>
                <w:webHidden/>
              </w:rPr>
              <w:fldChar w:fldCharType="end"/>
            </w:r>
          </w:hyperlink>
        </w:p>
        <w:p w14:paraId="62446555" w14:textId="240F2AC9"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3" w:history="1">
            <w:r w:rsidRPr="003865B2">
              <w:rPr>
                <w:rStyle w:val="Hyperlink"/>
                <w:noProof/>
              </w:rPr>
              <w:t>Type of evaluation</w:t>
            </w:r>
            <w:r>
              <w:rPr>
                <w:noProof/>
                <w:webHidden/>
              </w:rPr>
              <w:tab/>
            </w:r>
            <w:r>
              <w:rPr>
                <w:noProof/>
                <w:webHidden/>
              </w:rPr>
              <w:fldChar w:fldCharType="begin"/>
            </w:r>
            <w:r>
              <w:rPr>
                <w:noProof/>
                <w:webHidden/>
              </w:rPr>
              <w:instrText xml:space="preserve"> PAGEREF _Toc225952933 \h </w:instrText>
            </w:r>
            <w:r>
              <w:rPr>
                <w:noProof/>
                <w:webHidden/>
              </w:rPr>
            </w:r>
            <w:r>
              <w:rPr>
                <w:noProof/>
                <w:webHidden/>
              </w:rPr>
              <w:fldChar w:fldCharType="separate"/>
            </w:r>
            <w:r>
              <w:rPr>
                <w:noProof/>
                <w:webHidden/>
              </w:rPr>
              <w:t>11</w:t>
            </w:r>
            <w:r>
              <w:rPr>
                <w:noProof/>
                <w:webHidden/>
              </w:rPr>
              <w:fldChar w:fldCharType="end"/>
            </w:r>
          </w:hyperlink>
        </w:p>
        <w:p w14:paraId="74F058CC" w14:textId="2EB56770"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4" w:history="1">
            <w:r w:rsidRPr="003865B2">
              <w:rPr>
                <w:rStyle w:val="Hyperlink"/>
                <w:noProof/>
              </w:rPr>
              <w:t>Limitations</w:t>
            </w:r>
            <w:r>
              <w:rPr>
                <w:noProof/>
                <w:webHidden/>
              </w:rPr>
              <w:tab/>
            </w:r>
            <w:r>
              <w:rPr>
                <w:noProof/>
                <w:webHidden/>
              </w:rPr>
              <w:fldChar w:fldCharType="begin"/>
            </w:r>
            <w:r>
              <w:rPr>
                <w:noProof/>
                <w:webHidden/>
              </w:rPr>
              <w:instrText xml:space="preserve"> PAGEREF _Toc225952934 \h </w:instrText>
            </w:r>
            <w:r>
              <w:rPr>
                <w:noProof/>
                <w:webHidden/>
              </w:rPr>
            </w:r>
            <w:r>
              <w:rPr>
                <w:noProof/>
                <w:webHidden/>
              </w:rPr>
              <w:fldChar w:fldCharType="separate"/>
            </w:r>
            <w:r>
              <w:rPr>
                <w:noProof/>
                <w:webHidden/>
              </w:rPr>
              <w:t>11</w:t>
            </w:r>
            <w:r>
              <w:rPr>
                <w:noProof/>
                <w:webHidden/>
              </w:rPr>
              <w:fldChar w:fldCharType="end"/>
            </w:r>
          </w:hyperlink>
        </w:p>
        <w:p w14:paraId="438B9208" w14:textId="49FFED08" w:rsidR="0015425F" w:rsidRDefault="0015425F">
          <w:pPr>
            <w:pStyle w:val="TOC1"/>
            <w:rPr>
              <w:rFonts w:asciiTheme="minorHAnsi" w:eastAsiaTheme="minorEastAsia" w:hAnsiTheme="minorHAnsi" w:cstheme="minorBidi"/>
              <w:noProof/>
              <w:kern w:val="2"/>
              <w:szCs w:val="24"/>
              <w14:ligatures w14:val="standardContextual"/>
            </w:rPr>
          </w:pPr>
          <w:hyperlink w:anchor="_Toc225952935" w:history="1">
            <w:r w:rsidRPr="003865B2">
              <w:rPr>
                <w:rStyle w:val="Hyperlink"/>
                <w:noProof/>
              </w:rPr>
              <w:t>Results</w:t>
            </w:r>
            <w:r>
              <w:rPr>
                <w:noProof/>
                <w:webHidden/>
              </w:rPr>
              <w:tab/>
            </w:r>
            <w:r>
              <w:rPr>
                <w:noProof/>
                <w:webHidden/>
              </w:rPr>
              <w:fldChar w:fldCharType="begin"/>
            </w:r>
            <w:r>
              <w:rPr>
                <w:noProof/>
                <w:webHidden/>
              </w:rPr>
              <w:instrText xml:space="preserve"> PAGEREF _Toc225952935 \h </w:instrText>
            </w:r>
            <w:r>
              <w:rPr>
                <w:noProof/>
                <w:webHidden/>
              </w:rPr>
            </w:r>
            <w:r>
              <w:rPr>
                <w:noProof/>
                <w:webHidden/>
              </w:rPr>
              <w:fldChar w:fldCharType="separate"/>
            </w:r>
            <w:r>
              <w:rPr>
                <w:noProof/>
                <w:webHidden/>
              </w:rPr>
              <w:t>11</w:t>
            </w:r>
            <w:r>
              <w:rPr>
                <w:noProof/>
                <w:webHidden/>
              </w:rPr>
              <w:fldChar w:fldCharType="end"/>
            </w:r>
          </w:hyperlink>
        </w:p>
        <w:p w14:paraId="5C6E0390" w14:textId="61EAC7FB"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6" w:history="1">
            <w:r w:rsidRPr="003865B2">
              <w:rPr>
                <w:rStyle w:val="Hyperlink"/>
                <w:noProof/>
              </w:rPr>
              <w:t>Student Financial Support Survey results comparison</w:t>
            </w:r>
            <w:r>
              <w:rPr>
                <w:noProof/>
                <w:webHidden/>
              </w:rPr>
              <w:tab/>
            </w:r>
            <w:r>
              <w:rPr>
                <w:noProof/>
                <w:webHidden/>
              </w:rPr>
              <w:fldChar w:fldCharType="begin"/>
            </w:r>
            <w:r>
              <w:rPr>
                <w:noProof/>
                <w:webHidden/>
              </w:rPr>
              <w:instrText xml:space="preserve"> PAGEREF _Toc225952936 \h </w:instrText>
            </w:r>
            <w:r>
              <w:rPr>
                <w:noProof/>
                <w:webHidden/>
              </w:rPr>
            </w:r>
            <w:r>
              <w:rPr>
                <w:noProof/>
                <w:webHidden/>
              </w:rPr>
              <w:fldChar w:fldCharType="separate"/>
            </w:r>
            <w:r>
              <w:rPr>
                <w:noProof/>
                <w:webHidden/>
              </w:rPr>
              <w:t>11</w:t>
            </w:r>
            <w:r>
              <w:rPr>
                <w:noProof/>
                <w:webHidden/>
              </w:rPr>
              <w:fldChar w:fldCharType="end"/>
            </w:r>
          </w:hyperlink>
        </w:p>
        <w:p w14:paraId="038B902C" w14:textId="2BAF9670"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7" w:history="1">
            <w:r w:rsidRPr="003865B2">
              <w:rPr>
                <w:rStyle w:val="Hyperlink"/>
                <w:noProof/>
              </w:rPr>
              <w:t>Using the Office for Students framework for financial support statistical analysis</w:t>
            </w:r>
            <w:r>
              <w:rPr>
                <w:noProof/>
                <w:webHidden/>
              </w:rPr>
              <w:tab/>
            </w:r>
            <w:r>
              <w:rPr>
                <w:noProof/>
                <w:webHidden/>
              </w:rPr>
              <w:fldChar w:fldCharType="begin"/>
            </w:r>
            <w:r>
              <w:rPr>
                <w:noProof/>
                <w:webHidden/>
              </w:rPr>
              <w:instrText xml:space="preserve"> PAGEREF _Toc225952937 \h </w:instrText>
            </w:r>
            <w:r>
              <w:rPr>
                <w:noProof/>
                <w:webHidden/>
              </w:rPr>
            </w:r>
            <w:r>
              <w:rPr>
                <w:noProof/>
                <w:webHidden/>
              </w:rPr>
              <w:fldChar w:fldCharType="separate"/>
            </w:r>
            <w:r>
              <w:rPr>
                <w:noProof/>
                <w:webHidden/>
              </w:rPr>
              <w:t>13</w:t>
            </w:r>
            <w:r>
              <w:rPr>
                <w:noProof/>
                <w:webHidden/>
              </w:rPr>
              <w:fldChar w:fldCharType="end"/>
            </w:r>
          </w:hyperlink>
        </w:p>
        <w:p w14:paraId="1C2687D5" w14:textId="2F0820B5"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8" w:history="1">
            <w:r w:rsidRPr="003865B2">
              <w:rPr>
                <w:rStyle w:val="Hyperlink"/>
                <w:noProof/>
              </w:rPr>
              <w:t>Continuation</w:t>
            </w:r>
            <w:r>
              <w:rPr>
                <w:noProof/>
                <w:webHidden/>
              </w:rPr>
              <w:tab/>
            </w:r>
            <w:r>
              <w:rPr>
                <w:noProof/>
                <w:webHidden/>
              </w:rPr>
              <w:fldChar w:fldCharType="begin"/>
            </w:r>
            <w:r>
              <w:rPr>
                <w:noProof/>
                <w:webHidden/>
              </w:rPr>
              <w:instrText xml:space="preserve"> PAGEREF _Toc225952938 \h </w:instrText>
            </w:r>
            <w:r>
              <w:rPr>
                <w:noProof/>
                <w:webHidden/>
              </w:rPr>
            </w:r>
            <w:r>
              <w:rPr>
                <w:noProof/>
                <w:webHidden/>
              </w:rPr>
              <w:fldChar w:fldCharType="separate"/>
            </w:r>
            <w:r>
              <w:rPr>
                <w:noProof/>
                <w:webHidden/>
              </w:rPr>
              <w:t>13</w:t>
            </w:r>
            <w:r>
              <w:rPr>
                <w:noProof/>
                <w:webHidden/>
              </w:rPr>
              <w:fldChar w:fldCharType="end"/>
            </w:r>
          </w:hyperlink>
        </w:p>
        <w:p w14:paraId="0D35B16D" w14:textId="2FDD64BA"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39" w:history="1">
            <w:r w:rsidRPr="003865B2">
              <w:rPr>
                <w:rStyle w:val="Hyperlink"/>
                <w:noProof/>
              </w:rPr>
              <w:t>Completion</w:t>
            </w:r>
            <w:r>
              <w:rPr>
                <w:noProof/>
                <w:webHidden/>
              </w:rPr>
              <w:tab/>
            </w:r>
            <w:r>
              <w:rPr>
                <w:noProof/>
                <w:webHidden/>
              </w:rPr>
              <w:fldChar w:fldCharType="begin"/>
            </w:r>
            <w:r>
              <w:rPr>
                <w:noProof/>
                <w:webHidden/>
              </w:rPr>
              <w:instrText xml:space="preserve"> PAGEREF _Toc225952939 \h </w:instrText>
            </w:r>
            <w:r>
              <w:rPr>
                <w:noProof/>
                <w:webHidden/>
              </w:rPr>
            </w:r>
            <w:r>
              <w:rPr>
                <w:noProof/>
                <w:webHidden/>
              </w:rPr>
              <w:fldChar w:fldCharType="separate"/>
            </w:r>
            <w:r>
              <w:rPr>
                <w:noProof/>
                <w:webHidden/>
              </w:rPr>
              <w:t>14</w:t>
            </w:r>
            <w:r>
              <w:rPr>
                <w:noProof/>
                <w:webHidden/>
              </w:rPr>
              <w:fldChar w:fldCharType="end"/>
            </w:r>
          </w:hyperlink>
        </w:p>
        <w:p w14:paraId="5FE45B2B" w14:textId="25592599"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40" w:history="1">
            <w:r w:rsidRPr="003865B2">
              <w:rPr>
                <w:rStyle w:val="Hyperlink"/>
                <w:noProof/>
              </w:rPr>
              <w:t>Attainment</w:t>
            </w:r>
            <w:r>
              <w:rPr>
                <w:noProof/>
                <w:webHidden/>
              </w:rPr>
              <w:tab/>
            </w:r>
            <w:r>
              <w:rPr>
                <w:noProof/>
                <w:webHidden/>
              </w:rPr>
              <w:fldChar w:fldCharType="begin"/>
            </w:r>
            <w:r>
              <w:rPr>
                <w:noProof/>
                <w:webHidden/>
              </w:rPr>
              <w:instrText xml:space="preserve"> PAGEREF _Toc225952940 \h </w:instrText>
            </w:r>
            <w:r>
              <w:rPr>
                <w:noProof/>
                <w:webHidden/>
              </w:rPr>
            </w:r>
            <w:r>
              <w:rPr>
                <w:noProof/>
                <w:webHidden/>
              </w:rPr>
              <w:fldChar w:fldCharType="separate"/>
            </w:r>
            <w:r>
              <w:rPr>
                <w:noProof/>
                <w:webHidden/>
              </w:rPr>
              <w:t>15</w:t>
            </w:r>
            <w:r>
              <w:rPr>
                <w:noProof/>
                <w:webHidden/>
              </w:rPr>
              <w:fldChar w:fldCharType="end"/>
            </w:r>
          </w:hyperlink>
        </w:p>
        <w:p w14:paraId="568A5FC7" w14:textId="0265F666" w:rsidR="0015425F" w:rsidRDefault="0015425F">
          <w:pPr>
            <w:pStyle w:val="TOC2"/>
            <w:tabs>
              <w:tab w:val="right" w:leader="dot" w:pos="9458"/>
            </w:tabs>
            <w:rPr>
              <w:rFonts w:asciiTheme="minorHAnsi" w:eastAsiaTheme="minorEastAsia" w:hAnsiTheme="minorHAnsi" w:cstheme="minorBidi"/>
              <w:noProof/>
              <w:kern w:val="2"/>
              <w:szCs w:val="24"/>
              <w14:ligatures w14:val="standardContextual"/>
            </w:rPr>
          </w:pPr>
          <w:hyperlink w:anchor="_Toc225952941" w:history="1">
            <w:r w:rsidRPr="003865B2">
              <w:rPr>
                <w:rStyle w:val="Hyperlink"/>
                <w:noProof/>
              </w:rPr>
              <w:t>Other variables</w:t>
            </w:r>
            <w:r>
              <w:rPr>
                <w:noProof/>
                <w:webHidden/>
              </w:rPr>
              <w:tab/>
            </w:r>
            <w:r>
              <w:rPr>
                <w:noProof/>
                <w:webHidden/>
              </w:rPr>
              <w:fldChar w:fldCharType="begin"/>
            </w:r>
            <w:r>
              <w:rPr>
                <w:noProof/>
                <w:webHidden/>
              </w:rPr>
              <w:instrText xml:space="preserve"> PAGEREF _Toc225952941 \h </w:instrText>
            </w:r>
            <w:r>
              <w:rPr>
                <w:noProof/>
                <w:webHidden/>
              </w:rPr>
            </w:r>
            <w:r>
              <w:rPr>
                <w:noProof/>
                <w:webHidden/>
              </w:rPr>
              <w:fldChar w:fldCharType="separate"/>
            </w:r>
            <w:r>
              <w:rPr>
                <w:noProof/>
                <w:webHidden/>
              </w:rPr>
              <w:t>15</w:t>
            </w:r>
            <w:r>
              <w:rPr>
                <w:noProof/>
                <w:webHidden/>
              </w:rPr>
              <w:fldChar w:fldCharType="end"/>
            </w:r>
          </w:hyperlink>
        </w:p>
        <w:p w14:paraId="1589495C" w14:textId="4B63477B"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42" w:history="1">
            <w:r w:rsidRPr="003865B2">
              <w:rPr>
                <w:rStyle w:val="Hyperlink"/>
                <w:noProof/>
              </w:rPr>
              <w:t>Continuation</w:t>
            </w:r>
            <w:r>
              <w:rPr>
                <w:noProof/>
                <w:webHidden/>
              </w:rPr>
              <w:tab/>
            </w:r>
            <w:r>
              <w:rPr>
                <w:noProof/>
                <w:webHidden/>
              </w:rPr>
              <w:fldChar w:fldCharType="begin"/>
            </w:r>
            <w:r>
              <w:rPr>
                <w:noProof/>
                <w:webHidden/>
              </w:rPr>
              <w:instrText xml:space="preserve"> PAGEREF _Toc225952942 \h </w:instrText>
            </w:r>
            <w:r>
              <w:rPr>
                <w:noProof/>
                <w:webHidden/>
              </w:rPr>
            </w:r>
            <w:r>
              <w:rPr>
                <w:noProof/>
                <w:webHidden/>
              </w:rPr>
              <w:fldChar w:fldCharType="separate"/>
            </w:r>
            <w:r>
              <w:rPr>
                <w:noProof/>
                <w:webHidden/>
              </w:rPr>
              <w:t>15</w:t>
            </w:r>
            <w:r>
              <w:rPr>
                <w:noProof/>
                <w:webHidden/>
              </w:rPr>
              <w:fldChar w:fldCharType="end"/>
            </w:r>
          </w:hyperlink>
        </w:p>
        <w:p w14:paraId="4ED00FC2" w14:textId="107A629F"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43" w:history="1">
            <w:r w:rsidRPr="003865B2">
              <w:rPr>
                <w:rStyle w:val="Hyperlink"/>
                <w:noProof/>
              </w:rPr>
              <w:t>Completion</w:t>
            </w:r>
            <w:r>
              <w:rPr>
                <w:noProof/>
                <w:webHidden/>
              </w:rPr>
              <w:tab/>
            </w:r>
            <w:r>
              <w:rPr>
                <w:noProof/>
                <w:webHidden/>
              </w:rPr>
              <w:fldChar w:fldCharType="begin"/>
            </w:r>
            <w:r>
              <w:rPr>
                <w:noProof/>
                <w:webHidden/>
              </w:rPr>
              <w:instrText xml:space="preserve"> PAGEREF _Toc225952943 \h </w:instrText>
            </w:r>
            <w:r>
              <w:rPr>
                <w:noProof/>
                <w:webHidden/>
              </w:rPr>
            </w:r>
            <w:r>
              <w:rPr>
                <w:noProof/>
                <w:webHidden/>
              </w:rPr>
              <w:fldChar w:fldCharType="separate"/>
            </w:r>
            <w:r>
              <w:rPr>
                <w:noProof/>
                <w:webHidden/>
              </w:rPr>
              <w:t>16</w:t>
            </w:r>
            <w:r>
              <w:rPr>
                <w:noProof/>
                <w:webHidden/>
              </w:rPr>
              <w:fldChar w:fldCharType="end"/>
            </w:r>
          </w:hyperlink>
        </w:p>
        <w:p w14:paraId="1EF96E4E" w14:textId="4C404E0C"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44" w:history="1">
            <w:r w:rsidRPr="003865B2">
              <w:rPr>
                <w:rStyle w:val="Hyperlink"/>
                <w:noProof/>
              </w:rPr>
              <w:t>Attainment</w:t>
            </w:r>
            <w:r>
              <w:rPr>
                <w:noProof/>
                <w:webHidden/>
              </w:rPr>
              <w:tab/>
            </w:r>
            <w:r>
              <w:rPr>
                <w:noProof/>
                <w:webHidden/>
              </w:rPr>
              <w:fldChar w:fldCharType="begin"/>
            </w:r>
            <w:r>
              <w:rPr>
                <w:noProof/>
                <w:webHidden/>
              </w:rPr>
              <w:instrText xml:space="preserve"> PAGEREF _Toc225952944 \h </w:instrText>
            </w:r>
            <w:r>
              <w:rPr>
                <w:noProof/>
                <w:webHidden/>
              </w:rPr>
            </w:r>
            <w:r>
              <w:rPr>
                <w:noProof/>
                <w:webHidden/>
              </w:rPr>
              <w:fldChar w:fldCharType="separate"/>
            </w:r>
            <w:r>
              <w:rPr>
                <w:noProof/>
                <w:webHidden/>
              </w:rPr>
              <w:t>17</w:t>
            </w:r>
            <w:r>
              <w:rPr>
                <w:noProof/>
                <w:webHidden/>
              </w:rPr>
              <w:fldChar w:fldCharType="end"/>
            </w:r>
          </w:hyperlink>
        </w:p>
        <w:p w14:paraId="62095E3B" w14:textId="2632214C" w:rsidR="0015425F" w:rsidRDefault="0015425F">
          <w:pPr>
            <w:pStyle w:val="TOC1"/>
            <w:rPr>
              <w:rFonts w:asciiTheme="minorHAnsi" w:eastAsiaTheme="minorEastAsia" w:hAnsiTheme="minorHAnsi" w:cstheme="minorBidi"/>
              <w:noProof/>
              <w:kern w:val="2"/>
              <w:szCs w:val="24"/>
              <w14:ligatures w14:val="standardContextual"/>
            </w:rPr>
          </w:pPr>
          <w:hyperlink w:anchor="_Toc225952945" w:history="1">
            <w:r w:rsidRPr="003865B2">
              <w:rPr>
                <w:rStyle w:val="Hyperlink"/>
                <w:noProof/>
              </w:rPr>
              <w:t>Conclusions &amp; recommendations</w:t>
            </w:r>
            <w:r>
              <w:rPr>
                <w:noProof/>
                <w:webHidden/>
              </w:rPr>
              <w:tab/>
            </w:r>
            <w:r>
              <w:rPr>
                <w:noProof/>
                <w:webHidden/>
              </w:rPr>
              <w:fldChar w:fldCharType="begin"/>
            </w:r>
            <w:r>
              <w:rPr>
                <w:noProof/>
                <w:webHidden/>
              </w:rPr>
              <w:instrText xml:space="preserve"> PAGEREF _Toc225952945 \h </w:instrText>
            </w:r>
            <w:r>
              <w:rPr>
                <w:noProof/>
                <w:webHidden/>
              </w:rPr>
            </w:r>
            <w:r>
              <w:rPr>
                <w:noProof/>
                <w:webHidden/>
              </w:rPr>
              <w:fldChar w:fldCharType="separate"/>
            </w:r>
            <w:r>
              <w:rPr>
                <w:noProof/>
                <w:webHidden/>
              </w:rPr>
              <w:t>19</w:t>
            </w:r>
            <w:r>
              <w:rPr>
                <w:noProof/>
                <w:webHidden/>
              </w:rPr>
              <w:fldChar w:fldCharType="end"/>
            </w:r>
          </w:hyperlink>
        </w:p>
        <w:p w14:paraId="1C70EA9B" w14:textId="264F3204"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46" w:history="1">
            <w:r w:rsidRPr="003865B2">
              <w:rPr>
                <w:rStyle w:val="Hyperlink"/>
                <w:noProof/>
              </w:rPr>
              <w:t>Conclusions</w:t>
            </w:r>
            <w:r>
              <w:rPr>
                <w:noProof/>
                <w:webHidden/>
              </w:rPr>
              <w:tab/>
            </w:r>
            <w:r>
              <w:rPr>
                <w:noProof/>
                <w:webHidden/>
              </w:rPr>
              <w:fldChar w:fldCharType="begin"/>
            </w:r>
            <w:r>
              <w:rPr>
                <w:noProof/>
                <w:webHidden/>
              </w:rPr>
              <w:instrText xml:space="preserve"> PAGEREF _Toc225952946 \h </w:instrText>
            </w:r>
            <w:r>
              <w:rPr>
                <w:noProof/>
                <w:webHidden/>
              </w:rPr>
            </w:r>
            <w:r>
              <w:rPr>
                <w:noProof/>
                <w:webHidden/>
              </w:rPr>
              <w:fldChar w:fldCharType="separate"/>
            </w:r>
            <w:r>
              <w:rPr>
                <w:noProof/>
                <w:webHidden/>
              </w:rPr>
              <w:t>19</w:t>
            </w:r>
            <w:r>
              <w:rPr>
                <w:noProof/>
                <w:webHidden/>
              </w:rPr>
              <w:fldChar w:fldCharType="end"/>
            </w:r>
          </w:hyperlink>
        </w:p>
        <w:p w14:paraId="32E508BD" w14:textId="4819986F" w:rsidR="0015425F" w:rsidRDefault="0015425F">
          <w:pPr>
            <w:pStyle w:val="TOC3"/>
            <w:tabs>
              <w:tab w:val="right" w:leader="dot" w:pos="9458"/>
            </w:tabs>
            <w:rPr>
              <w:rFonts w:asciiTheme="minorHAnsi" w:eastAsiaTheme="minorEastAsia" w:hAnsiTheme="minorHAnsi" w:cstheme="minorBidi"/>
              <w:noProof/>
              <w:kern w:val="2"/>
              <w:szCs w:val="24"/>
              <w14:ligatures w14:val="standardContextual"/>
            </w:rPr>
          </w:pPr>
          <w:hyperlink w:anchor="_Toc225952947" w:history="1">
            <w:r w:rsidRPr="003865B2">
              <w:rPr>
                <w:rStyle w:val="Hyperlink"/>
                <w:noProof/>
              </w:rPr>
              <w:t>Recommendations</w:t>
            </w:r>
            <w:r>
              <w:rPr>
                <w:noProof/>
                <w:webHidden/>
              </w:rPr>
              <w:tab/>
            </w:r>
            <w:r>
              <w:rPr>
                <w:noProof/>
                <w:webHidden/>
              </w:rPr>
              <w:fldChar w:fldCharType="begin"/>
            </w:r>
            <w:r>
              <w:rPr>
                <w:noProof/>
                <w:webHidden/>
              </w:rPr>
              <w:instrText xml:space="preserve"> PAGEREF _Toc225952947 \h </w:instrText>
            </w:r>
            <w:r>
              <w:rPr>
                <w:noProof/>
                <w:webHidden/>
              </w:rPr>
            </w:r>
            <w:r>
              <w:rPr>
                <w:noProof/>
                <w:webHidden/>
              </w:rPr>
              <w:fldChar w:fldCharType="separate"/>
            </w:r>
            <w:r>
              <w:rPr>
                <w:noProof/>
                <w:webHidden/>
              </w:rPr>
              <w:t>19</w:t>
            </w:r>
            <w:r>
              <w:rPr>
                <w:noProof/>
                <w:webHidden/>
              </w:rPr>
              <w:fldChar w:fldCharType="end"/>
            </w:r>
          </w:hyperlink>
        </w:p>
        <w:p w14:paraId="178CF8A1" w14:textId="40E8A541" w:rsidR="0015425F" w:rsidRDefault="0015425F">
          <w:pPr>
            <w:pStyle w:val="TOC2"/>
            <w:tabs>
              <w:tab w:val="right" w:leader="dot" w:pos="9458"/>
            </w:tabs>
            <w:rPr>
              <w:rFonts w:asciiTheme="minorHAnsi" w:eastAsiaTheme="minorEastAsia" w:hAnsiTheme="minorHAnsi" w:cstheme="minorBidi"/>
              <w:noProof/>
              <w:kern w:val="2"/>
              <w:szCs w:val="24"/>
              <w14:ligatures w14:val="standardContextual"/>
            </w:rPr>
          </w:pPr>
          <w:hyperlink w:anchor="_Toc225952948" w:history="1">
            <w:r w:rsidRPr="003865B2">
              <w:rPr>
                <w:rStyle w:val="Hyperlink"/>
                <w:noProof/>
              </w:rPr>
              <w:t>Notes</w:t>
            </w:r>
            <w:r>
              <w:rPr>
                <w:noProof/>
                <w:webHidden/>
              </w:rPr>
              <w:tab/>
            </w:r>
            <w:r>
              <w:rPr>
                <w:noProof/>
                <w:webHidden/>
              </w:rPr>
              <w:fldChar w:fldCharType="begin"/>
            </w:r>
            <w:r>
              <w:rPr>
                <w:noProof/>
                <w:webHidden/>
              </w:rPr>
              <w:instrText xml:space="preserve"> PAGEREF _Toc225952948 \h </w:instrText>
            </w:r>
            <w:r>
              <w:rPr>
                <w:noProof/>
                <w:webHidden/>
              </w:rPr>
            </w:r>
            <w:r>
              <w:rPr>
                <w:noProof/>
                <w:webHidden/>
              </w:rPr>
              <w:fldChar w:fldCharType="separate"/>
            </w:r>
            <w:r>
              <w:rPr>
                <w:noProof/>
                <w:webHidden/>
              </w:rPr>
              <w:t>20</w:t>
            </w:r>
            <w:r>
              <w:rPr>
                <w:noProof/>
                <w:webHidden/>
              </w:rPr>
              <w:fldChar w:fldCharType="end"/>
            </w:r>
          </w:hyperlink>
        </w:p>
        <w:p w14:paraId="162AF449" w14:textId="20379BD1" w:rsidR="0015425F" w:rsidRDefault="0015425F">
          <w:pPr>
            <w:pStyle w:val="TOC2"/>
            <w:tabs>
              <w:tab w:val="right" w:leader="dot" w:pos="9458"/>
            </w:tabs>
            <w:rPr>
              <w:rFonts w:asciiTheme="minorHAnsi" w:eastAsiaTheme="minorEastAsia" w:hAnsiTheme="minorHAnsi" w:cstheme="minorBidi"/>
              <w:noProof/>
              <w:kern w:val="2"/>
              <w:szCs w:val="24"/>
              <w14:ligatures w14:val="standardContextual"/>
            </w:rPr>
          </w:pPr>
          <w:hyperlink w:anchor="_Toc225952949" w:history="1">
            <w:r w:rsidRPr="003865B2">
              <w:rPr>
                <w:rStyle w:val="Hyperlink"/>
                <w:noProof/>
              </w:rPr>
              <w:t>Appendix - Variables</w:t>
            </w:r>
            <w:r>
              <w:rPr>
                <w:noProof/>
                <w:webHidden/>
              </w:rPr>
              <w:tab/>
            </w:r>
            <w:r>
              <w:rPr>
                <w:noProof/>
                <w:webHidden/>
              </w:rPr>
              <w:fldChar w:fldCharType="begin"/>
            </w:r>
            <w:r>
              <w:rPr>
                <w:noProof/>
                <w:webHidden/>
              </w:rPr>
              <w:instrText xml:space="preserve"> PAGEREF _Toc225952949 \h </w:instrText>
            </w:r>
            <w:r>
              <w:rPr>
                <w:noProof/>
                <w:webHidden/>
              </w:rPr>
            </w:r>
            <w:r>
              <w:rPr>
                <w:noProof/>
                <w:webHidden/>
              </w:rPr>
              <w:fldChar w:fldCharType="separate"/>
            </w:r>
            <w:r>
              <w:rPr>
                <w:noProof/>
                <w:webHidden/>
              </w:rPr>
              <w:t>20</w:t>
            </w:r>
            <w:r>
              <w:rPr>
                <w:noProof/>
                <w:webHidden/>
              </w:rPr>
              <w:fldChar w:fldCharType="end"/>
            </w:r>
          </w:hyperlink>
        </w:p>
        <w:p w14:paraId="5AE810DE" w14:textId="08EA460D" w:rsidR="00FE690C" w:rsidRPr="00482A06" w:rsidRDefault="005177F3" w:rsidP="00482A06">
          <w:pPr>
            <w:pStyle w:val="TOC2"/>
            <w:tabs>
              <w:tab w:val="right" w:leader="dot" w:pos="9465"/>
            </w:tabs>
            <w:ind w:left="0"/>
            <w:rPr>
              <w:noProof/>
              <w:color w:val="D2002E" w:themeColor="hyperlink"/>
              <w:kern w:val="2"/>
              <w:u w:val="single"/>
              <w14:ligatures w14:val="standardContextual"/>
            </w:rPr>
          </w:pPr>
          <w:r>
            <w:fldChar w:fldCharType="end"/>
          </w:r>
        </w:p>
      </w:sdtContent>
    </w:sdt>
    <w:bookmarkStart w:id="1" w:name="_Toc411949762" w:displacedByCustomXml="prev"/>
    <w:bookmarkStart w:id="2" w:name="_Toc411949761" w:displacedByCustomXml="prev"/>
    <w:p w14:paraId="5AE0F242" w14:textId="2453E23B" w:rsidR="00FD3C55" w:rsidRDefault="00CD7BA5" w:rsidP="00FD3C55">
      <w:pPr>
        <w:pStyle w:val="Heading1"/>
      </w:pPr>
      <w:bookmarkStart w:id="3" w:name="_Toc225952920"/>
      <w:r>
        <w:t>Executive Summary</w:t>
      </w:r>
      <w:bookmarkEnd w:id="3"/>
    </w:p>
    <w:p w14:paraId="72E1C42C" w14:textId="77777777" w:rsidR="002D73F0" w:rsidRPr="002D73F0" w:rsidRDefault="002D73F0" w:rsidP="00A34399">
      <w:pPr>
        <w:rPr>
          <w:b/>
          <w:bCs/>
        </w:rPr>
      </w:pPr>
      <w:r w:rsidRPr="002D73F0">
        <w:rPr>
          <w:b/>
          <w:bCs/>
        </w:rPr>
        <w:t>The activity</w:t>
      </w:r>
    </w:p>
    <w:p w14:paraId="5FCCFDCD" w14:textId="4C6AC94D" w:rsidR="002D73F0" w:rsidRDefault="00D20051" w:rsidP="00A34399">
      <w:r>
        <w:t>This evaluation reviews the impact of financial support packages introduced at the University of Reading</w:t>
      </w:r>
      <w:r w:rsidR="00E65AF3">
        <w:t xml:space="preserve">. </w:t>
      </w:r>
      <w:r w:rsidR="00D30170">
        <w:t>C</w:t>
      </w:r>
      <w:r>
        <w:t>hanges</w:t>
      </w:r>
      <w:r w:rsidR="00BC48FB">
        <w:t xml:space="preserve"> for 2024/25 onwards</w:t>
      </w:r>
      <w:r w:rsidR="008D1745">
        <w:t xml:space="preserve"> are not</w:t>
      </w:r>
      <w:r w:rsidR="00D30170">
        <w:t xml:space="preserve"> yet</w:t>
      </w:r>
      <w:r w:rsidR="008D1745">
        <w:t xml:space="preserve"> fully understood. These changes</w:t>
      </w:r>
      <w:r>
        <w:t xml:space="preserve"> includ</w:t>
      </w:r>
      <w:r w:rsidR="008D1745">
        <w:t>e</w:t>
      </w:r>
      <w:r>
        <w:t xml:space="preserve"> increasing the Reading Bursary </w:t>
      </w:r>
      <w:r w:rsidR="54251B01">
        <w:t xml:space="preserve">from £1,100 </w:t>
      </w:r>
      <w:r>
        <w:t xml:space="preserve">to £1,500 and refining eligibility to students with household incomes up to £27,000 </w:t>
      </w:r>
      <w:r w:rsidR="000F3B69">
        <w:t xml:space="preserve">(from £25, 000) </w:t>
      </w:r>
      <w:r>
        <w:t xml:space="preserve">and addresses in IMD, TUNDRA, or POLAR4 Quintiles 1 or 2. </w:t>
      </w:r>
    </w:p>
    <w:p w14:paraId="127507E2" w14:textId="77777777" w:rsidR="002D73F0" w:rsidRPr="000F3B69" w:rsidRDefault="002D73F0" w:rsidP="00A34399">
      <w:pPr>
        <w:rPr>
          <w:b/>
          <w:bCs/>
        </w:rPr>
      </w:pPr>
      <w:r w:rsidRPr="000F3B69">
        <w:rPr>
          <w:b/>
          <w:bCs/>
        </w:rPr>
        <w:t>The evaluation</w:t>
      </w:r>
    </w:p>
    <w:p w14:paraId="3BA4D649" w14:textId="717FE16F" w:rsidR="00D654A7" w:rsidRDefault="002D73F0" w:rsidP="00A34399">
      <w:r>
        <w:t>The evaluation comprises data from student survey</w:t>
      </w:r>
      <w:r w:rsidR="00D654A7">
        <w:t xml:space="preserve"> responses from those who received the bursary, alongside statistical analysis of the bursary </w:t>
      </w:r>
      <w:r w:rsidR="00AD6D61">
        <w:t>using</w:t>
      </w:r>
      <w:r w:rsidR="00D654A7">
        <w:t xml:space="preserve"> previous </w:t>
      </w:r>
      <w:proofErr w:type="spellStart"/>
      <w:r w:rsidR="00D654A7">
        <w:t>OfS</w:t>
      </w:r>
      <w:proofErr w:type="spellEnd"/>
      <w:r w:rsidR="00D654A7">
        <w:t xml:space="preserve"> methodology.</w:t>
      </w:r>
      <w:r w:rsidR="006A0894">
        <w:t xml:space="preserve"> Therefore, it is a combination of Type 1 and Type 2 analysis.</w:t>
      </w:r>
    </w:p>
    <w:p w14:paraId="14579603" w14:textId="5F9E018B" w:rsidR="000F3B69" w:rsidRPr="000F3B69" w:rsidRDefault="000F3B69" w:rsidP="00A34399">
      <w:pPr>
        <w:rPr>
          <w:b/>
          <w:bCs/>
        </w:rPr>
      </w:pPr>
      <w:r w:rsidRPr="000F3B69">
        <w:rPr>
          <w:b/>
          <w:bCs/>
        </w:rPr>
        <w:t>Main findings</w:t>
      </w:r>
    </w:p>
    <w:p w14:paraId="6169BD5E" w14:textId="7393E65D" w:rsidR="00E32849" w:rsidRDefault="00D20051" w:rsidP="00A34399">
      <w:r>
        <w:t xml:space="preserve">Survey data from 2022/23 and 2023/24 shows improved ability to participate in university life, concentrate on studies, and manage financial anxiety, supported by positive qualitative feedback. However, many students still rely on paid work during term time, indicating persistent financial pressures. </w:t>
      </w:r>
      <w:r w:rsidR="00D068A2">
        <w:t xml:space="preserve">Analysis of continuation and attainment show no difference between groups, indicating that the bursary </w:t>
      </w:r>
      <w:r w:rsidR="006020C3">
        <w:t>may be supporting</w:t>
      </w:r>
      <w:r w:rsidR="00022C5B">
        <w:t xml:space="preserve"> students from low-income households</w:t>
      </w:r>
      <w:r w:rsidR="00555B45">
        <w:t xml:space="preserve"> to continue and achieve similarly to other students</w:t>
      </w:r>
      <w:r w:rsidR="00504980">
        <w:t>.</w:t>
      </w:r>
      <w:r>
        <w:t xml:space="preserve"> </w:t>
      </w:r>
    </w:p>
    <w:p w14:paraId="3DEA4F48" w14:textId="77777777" w:rsidR="000F3B69" w:rsidRPr="000F3B69" w:rsidRDefault="000F3B69" w:rsidP="00C22F88">
      <w:pPr>
        <w:rPr>
          <w:b/>
          <w:bCs/>
        </w:rPr>
      </w:pPr>
      <w:r w:rsidRPr="000F3B69">
        <w:rPr>
          <w:b/>
          <w:bCs/>
        </w:rPr>
        <w:t>Conclusions</w:t>
      </w:r>
    </w:p>
    <w:p w14:paraId="1A6631D3" w14:textId="702746AD" w:rsidR="00C22F88" w:rsidRDefault="00D20051" w:rsidP="00C22F88">
      <w:r w:rsidRPr="00D20051">
        <w:t xml:space="preserve">Overall, the revised bursary structure </w:t>
      </w:r>
      <w:r w:rsidR="00CB1A97">
        <w:t xml:space="preserve">should </w:t>
      </w:r>
      <w:r w:rsidR="009F2A43">
        <w:t xml:space="preserve">partially </w:t>
      </w:r>
      <w:r w:rsidRPr="00D20051">
        <w:t xml:space="preserve">meet </w:t>
      </w:r>
      <w:r w:rsidR="00CB1A97">
        <w:t>the</w:t>
      </w:r>
      <w:r w:rsidRPr="00D20051">
        <w:t xml:space="preserve"> objectives</w:t>
      </w:r>
      <w:r w:rsidR="009F2A43">
        <w:t xml:space="preserve"> set out in the Access and Participation Plan</w:t>
      </w:r>
      <w:r w:rsidRPr="00D20051">
        <w:t xml:space="preserve"> but </w:t>
      </w:r>
      <w:r w:rsidR="009F2A43">
        <w:t xml:space="preserve">they </w:t>
      </w:r>
      <w:r w:rsidRPr="00D20051">
        <w:t>may require additional measures to reduce reliance on employment and ensure sustained academic success.</w:t>
      </w:r>
      <w:r w:rsidR="000F3B69">
        <w:t xml:space="preserve"> Further analysis of </w:t>
      </w:r>
      <w:r w:rsidR="000F3B69">
        <w:lastRenderedPageBreak/>
        <w:t xml:space="preserve">data available in the coming years will provide better insights into the impact of </w:t>
      </w:r>
      <w:r w:rsidR="00504980">
        <w:t>further</w:t>
      </w:r>
      <w:r w:rsidR="000F3B69">
        <w:t xml:space="preserve"> amendments to the bursary.</w:t>
      </w:r>
    </w:p>
    <w:p w14:paraId="66D1FEF1" w14:textId="69CC756B" w:rsidR="0047112C" w:rsidRDefault="005F0456" w:rsidP="0047112C">
      <w:pPr>
        <w:pStyle w:val="Heading1"/>
      </w:pPr>
      <w:bookmarkStart w:id="4" w:name="_Toc225952921"/>
      <w:r>
        <w:t>Introduction</w:t>
      </w:r>
      <w:bookmarkEnd w:id="4"/>
    </w:p>
    <w:p w14:paraId="05A0B803" w14:textId="272C094C" w:rsidR="00AA47AB" w:rsidRDefault="005F0456" w:rsidP="00D543D1">
      <w:pPr>
        <w:pStyle w:val="Heading2"/>
      </w:pPr>
      <w:bookmarkStart w:id="5" w:name="_Toc225952922"/>
      <w:bookmarkEnd w:id="2"/>
      <w:bookmarkEnd w:id="1"/>
      <w:r>
        <w:t>R</w:t>
      </w:r>
      <w:r w:rsidR="0023174D">
        <w:t>ationale</w:t>
      </w:r>
      <w:bookmarkEnd w:id="5"/>
    </w:p>
    <w:p w14:paraId="71AED144" w14:textId="0F46875D" w:rsidR="000168DE" w:rsidRDefault="00B01150" w:rsidP="00B01150">
      <w:r w:rsidRPr="00B01150">
        <w:t>Financial burdens disproportionately affect IMDQ1 and FSM students. This can cause worry for students, which can impact on their studies. Additionally, it can mean that these students take on additional part-time work during term-time compared to other students. Additional demands on students’ time caused by term-time working and the impact of financial anxiety are understood to negatively impact degree attainment. </w:t>
      </w:r>
      <w:r w:rsidR="00AA47AB">
        <w:t xml:space="preserve"> </w:t>
      </w:r>
      <w:bookmarkStart w:id="6" w:name="_Toc21085139"/>
      <w:bookmarkStart w:id="7" w:name="_Toc411949764"/>
    </w:p>
    <w:p w14:paraId="79301531" w14:textId="191C9D81" w:rsidR="009E20C3" w:rsidRDefault="00283B50" w:rsidP="00D543D1">
      <w:pPr>
        <w:pStyle w:val="Heading2"/>
      </w:pPr>
      <w:bookmarkStart w:id="8" w:name="_Toc225952923"/>
      <w:r>
        <w:t>Intervention</w:t>
      </w:r>
      <w:bookmarkEnd w:id="8"/>
    </w:p>
    <w:p w14:paraId="3771B527" w14:textId="462B7BBB" w:rsidR="00B01150" w:rsidRPr="00B01150" w:rsidRDefault="00B01150" w:rsidP="00B01150">
      <w:r w:rsidRPr="00B01150">
        <w:rPr>
          <w:lang w:val="en-US"/>
        </w:rPr>
        <w:t xml:space="preserve">The Reading Bursary eligibility has been changed so that a student needs to have an assessed household income of up to £27,000 </w:t>
      </w:r>
      <w:r w:rsidRPr="00B01150">
        <w:rPr>
          <w:b/>
          <w:bCs/>
          <w:lang w:val="en-US"/>
        </w:rPr>
        <w:t>and</w:t>
      </w:r>
      <w:r w:rsidRPr="00B01150">
        <w:rPr>
          <w:lang w:val="en-US"/>
        </w:rPr>
        <w:t xml:space="preserve"> have a home address recorded </w:t>
      </w:r>
      <w:r w:rsidR="00326C7D">
        <w:rPr>
          <w:lang w:val="en-US"/>
        </w:rPr>
        <w:t>on their University student record</w:t>
      </w:r>
      <w:r w:rsidRPr="00B01150">
        <w:rPr>
          <w:lang w:val="en-US"/>
        </w:rPr>
        <w:t xml:space="preserve"> that has a post code in IMD</w:t>
      </w:r>
      <w:r>
        <w:rPr>
          <w:lang w:val="en-US"/>
        </w:rPr>
        <w:t>, TUNDRA</w:t>
      </w:r>
      <w:r w:rsidRPr="00B01150">
        <w:rPr>
          <w:lang w:val="en-US"/>
        </w:rPr>
        <w:t xml:space="preserve"> or POLAR4 Quintiles 1 or 2.</w:t>
      </w:r>
      <w:r>
        <w:rPr>
          <w:lang w:val="en-US"/>
        </w:rPr>
        <w:t xml:space="preserve"> The award level has been increased to £1,500 for students starting at the University in 2024/25 or later.</w:t>
      </w:r>
      <w:r w:rsidRPr="00B01150">
        <w:rPr>
          <w:lang w:val="en-US"/>
        </w:rPr>
        <w:t> </w:t>
      </w:r>
      <w:r w:rsidRPr="00B01150">
        <w:t> </w:t>
      </w:r>
      <w:r>
        <w:t> </w:t>
      </w:r>
      <w:r w:rsidRPr="00B01150">
        <w:t> </w:t>
      </w:r>
    </w:p>
    <w:p w14:paraId="1AF44A9D" w14:textId="7B0C70CA" w:rsidR="009E20C3" w:rsidRDefault="00B01150" w:rsidP="00B01150">
      <w:r w:rsidRPr="00B01150">
        <w:t>The aim is to target financial support most effectively to align with intervention strategies and the institution’s identified risks to equality of opportunity. Increased financial support will, in theory, reduce the burdens on IMDQ1</w:t>
      </w:r>
      <w:r w:rsidR="00BC2D3E">
        <w:t>&amp;2</w:t>
      </w:r>
      <w:r w:rsidRPr="00B01150">
        <w:t xml:space="preserve"> and FSM students, allowing for increased focus on studies and therefore closing the awarding gap. The change in bursary structure also allows for funds to be spent on other areas of student need. </w:t>
      </w:r>
      <w:r w:rsidR="009E20C3">
        <w:t xml:space="preserve"> </w:t>
      </w:r>
    </w:p>
    <w:p w14:paraId="79D32F4F" w14:textId="0B7BB17F" w:rsidR="00283B50" w:rsidRDefault="00283B50" w:rsidP="00D543D1">
      <w:pPr>
        <w:pStyle w:val="Heading2"/>
      </w:pPr>
      <w:bookmarkStart w:id="9" w:name="_Toc225952924"/>
      <w:r>
        <w:t>Context</w:t>
      </w:r>
      <w:bookmarkEnd w:id="9"/>
    </w:p>
    <w:p w14:paraId="35CAD48C" w14:textId="406FD6AA" w:rsidR="00283B50" w:rsidRDefault="00283B50" w:rsidP="00283B50">
      <w:r>
        <w:t xml:space="preserve">This </w:t>
      </w:r>
      <w:r w:rsidR="008A3458">
        <w:t>covers the financial bursary structure 2024/25, though there is a time lag in the</w:t>
      </w:r>
      <w:r w:rsidR="00BD23B9">
        <w:t xml:space="preserve"> statistical</w:t>
      </w:r>
      <w:r w:rsidR="008A3458">
        <w:t xml:space="preserve"> data.</w:t>
      </w:r>
      <w:r>
        <w:t xml:space="preserve"> </w:t>
      </w:r>
    </w:p>
    <w:p w14:paraId="23551521" w14:textId="541355A5" w:rsidR="00283B50" w:rsidRDefault="00283B50" w:rsidP="00D543D1">
      <w:pPr>
        <w:pStyle w:val="Heading2"/>
      </w:pPr>
      <w:bookmarkStart w:id="10" w:name="_Toc225952925"/>
      <w:r>
        <w:t>Link to Access &amp; Participation Plan (APP)</w:t>
      </w:r>
      <w:bookmarkEnd w:id="10"/>
    </w:p>
    <w:p w14:paraId="12184B1D" w14:textId="7D7B7E00" w:rsidR="00283B50" w:rsidRDefault="00BE6D92" w:rsidP="00B01150">
      <w:r w:rsidRPr="00BE6D92">
        <w:t>Eliminate degree outcome gaps that correlate with ethnicity and</w:t>
      </w:r>
      <w:r>
        <w:t xml:space="preserve"> </w:t>
      </w:r>
      <w:r w:rsidRPr="00BE6D92">
        <w:t>socio-economic disadvantage by 2030.</w:t>
      </w:r>
    </w:p>
    <w:p w14:paraId="56A9764B" w14:textId="416BAF19" w:rsidR="00B47814" w:rsidRDefault="00B47814" w:rsidP="00D543D1">
      <w:pPr>
        <w:pStyle w:val="Heading2"/>
      </w:pPr>
      <w:bookmarkStart w:id="11" w:name="_Toc225952926"/>
      <w:r>
        <w:t>Previous evaluation</w:t>
      </w:r>
      <w:bookmarkEnd w:id="11"/>
    </w:p>
    <w:p w14:paraId="15FBD53C" w14:textId="46F5A74F" w:rsidR="009E20C3" w:rsidRDefault="00FE54C3" w:rsidP="00030F0B">
      <w:r>
        <w:t>There has not been a formal evaluation of the bursary report previously.</w:t>
      </w:r>
      <w:r w:rsidR="00512A40">
        <w:t xml:space="preserve"> However</w:t>
      </w:r>
      <w:r w:rsidR="00A13645">
        <w:t xml:space="preserve">, </w:t>
      </w:r>
      <w:r w:rsidR="000A5A26">
        <w:t>the University has published the following ref</w:t>
      </w:r>
      <w:r w:rsidR="00E06FFD">
        <w:t>l</w:t>
      </w:r>
      <w:r w:rsidR="000A5A26">
        <w:t>ective reports</w:t>
      </w:r>
      <w:r w:rsidR="00B124C0">
        <w:t xml:space="preserve"> in relation to</w:t>
      </w:r>
      <w:r w:rsidR="007C6065">
        <w:t xml:space="preserve"> its financial support packages:</w:t>
      </w:r>
    </w:p>
    <w:p w14:paraId="0C2A366C" w14:textId="77777777" w:rsidR="007C6065" w:rsidRDefault="007C6065" w:rsidP="00C662DF">
      <w:pPr>
        <w:pStyle w:val="ListParagraph"/>
        <w:numPr>
          <w:ilvl w:val="0"/>
          <w:numId w:val="27"/>
        </w:numPr>
      </w:pPr>
      <w:hyperlink r:id="rId11" w:history="1">
        <w:r w:rsidRPr="007C6065">
          <w:rPr>
            <w:rStyle w:val="Hyperlink"/>
          </w:rPr>
          <w:t>Student Financial Support reflective report September 2024 (PDF, 0.4 MB)</w:t>
        </w:r>
      </w:hyperlink>
      <w:r w:rsidRPr="007C6065">
        <w:t xml:space="preserve"> and </w:t>
      </w:r>
    </w:p>
    <w:p w14:paraId="13046F6E" w14:textId="062D1FD1" w:rsidR="007C6065" w:rsidRDefault="007C6065" w:rsidP="00C662DF">
      <w:pPr>
        <w:pStyle w:val="ListParagraph"/>
        <w:numPr>
          <w:ilvl w:val="0"/>
          <w:numId w:val="27"/>
        </w:numPr>
      </w:pPr>
      <w:hyperlink r:id="rId12" w:history="1">
        <w:r w:rsidRPr="007C6065">
          <w:rPr>
            <w:rStyle w:val="Hyperlink"/>
          </w:rPr>
          <w:t>Student financial support reflective report 2023</w:t>
        </w:r>
      </w:hyperlink>
    </w:p>
    <w:p w14:paraId="4CEC2194" w14:textId="6AFCCE42" w:rsidR="00F653EB" w:rsidRDefault="00F653EB" w:rsidP="00F653EB">
      <w:pPr>
        <w:pStyle w:val="Heading1"/>
      </w:pPr>
      <w:bookmarkStart w:id="12" w:name="_Toc225952927"/>
      <w:r>
        <w:lastRenderedPageBreak/>
        <w:t>Methodology</w:t>
      </w:r>
      <w:bookmarkEnd w:id="12"/>
    </w:p>
    <w:p w14:paraId="19D1110C" w14:textId="506980D7" w:rsidR="00F653EB" w:rsidRDefault="00F653EB" w:rsidP="00F70337">
      <w:pPr>
        <w:pStyle w:val="Heading2"/>
      </w:pPr>
      <w:bookmarkStart w:id="13" w:name="_Toc225952928"/>
      <w:r>
        <w:t xml:space="preserve">Research </w:t>
      </w:r>
      <w:r w:rsidR="005554E1">
        <w:t>q</w:t>
      </w:r>
      <w:r>
        <w:t>uestions</w:t>
      </w:r>
      <w:bookmarkEnd w:id="13"/>
    </w:p>
    <w:p w14:paraId="3395ADB2" w14:textId="46D9878D" w:rsidR="00B01150" w:rsidRPr="00B01150" w:rsidRDefault="00B01150" w:rsidP="00B01150">
      <w:pPr>
        <w:numPr>
          <w:ilvl w:val="0"/>
          <w:numId w:val="20"/>
        </w:numPr>
      </w:pPr>
      <w:r w:rsidRPr="00B01150">
        <w:t>Does altering the financial bursary structure improve</w:t>
      </w:r>
      <w:r w:rsidR="00222920">
        <w:t xml:space="preserve"> continuation and</w:t>
      </w:r>
      <w:r w:rsidRPr="00B01150">
        <w:t xml:space="preserve"> degree outcomes for IMDQ1 and FSM students, compared to previous bursary structures / compared to students on the same household income but not receiving the bursary? (2024/5 onwards) </w:t>
      </w:r>
    </w:p>
    <w:p w14:paraId="0487AA84" w14:textId="46E356CA" w:rsidR="00F653EB" w:rsidRDefault="00B01150" w:rsidP="00B01150">
      <w:pPr>
        <w:numPr>
          <w:ilvl w:val="0"/>
          <w:numId w:val="21"/>
        </w:numPr>
      </w:pPr>
      <w:r w:rsidRPr="00B01150">
        <w:t>Does altering the financial bursary structure relieve self-reported financial burdens/anxiety on IMDQ1 and FSM students? </w:t>
      </w:r>
      <w:r w:rsidR="00F653EB">
        <w:t xml:space="preserve"> </w:t>
      </w:r>
    </w:p>
    <w:p w14:paraId="708E8257" w14:textId="2CFD5474" w:rsidR="00F653EB" w:rsidRDefault="00F653EB" w:rsidP="00F70337">
      <w:pPr>
        <w:pStyle w:val="Heading2"/>
      </w:pPr>
      <w:bookmarkStart w:id="14" w:name="_Toc225952929"/>
      <w:r>
        <w:t>Participants</w:t>
      </w:r>
      <w:bookmarkEnd w:id="14"/>
    </w:p>
    <w:p w14:paraId="3C759F50" w14:textId="79C5494A" w:rsidR="009A5AC8" w:rsidRPr="009A5AC8" w:rsidRDefault="009A5AC8" w:rsidP="009A5AC8">
      <w:r w:rsidRPr="009A5AC8">
        <w:t xml:space="preserve">Students in receipt of bursaries in 2024 – 28 (household income below £27, 000 </w:t>
      </w:r>
      <w:r w:rsidRPr="009A5AC8">
        <w:rPr>
          <w:b/>
          <w:bCs/>
        </w:rPr>
        <w:t>and</w:t>
      </w:r>
      <w:r w:rsidRPr="009A5AC8">
        <w:t xml:space="preserve"> in IMDQ1 or FSM).  </w:t>
      </w:r>
    </w:p>
    <w:p w14:paraId="076D8B25" w14:textId="77777777" w:rsidR="009A5AC8" w:rsidRPr="009A5AC8" w:rsidRDefault="009A5AC8" w:rsidP="009A5AC8">
      <w:r w:rsidRPr="009A5AC8">
        <w:t>Black students receive additional bursary according to the new financial support packages. </w:t>
      </w:r>
    </w:p>
    <w:p w14:paraId="0FAB71CA" w14:textId="5F02A2E6" w:rsidR="009A5AC8" w:rsidRPr="009A5AC8" w:rsidRDefault="009A5AC8" w:rsidP="009A5AC8">
      <w:r w:rsidRPr="009A5AC8">
        <w:t xml:space="preserve">Commuter student </w:t>
      </w:r>
      <w:r>
        <w:t xml:space="preserve">travel </w:t>
      </w:r>
      <w:r w:rsidRPr="009A5AC8">
        <w:t>bursary.  </w:t>
      </w:r>
    </w:p>
    <w:p w14:paraId="3F38FD2B" w14:textId="77777777" w:rsidR="009A5AC8" w:rsidRPr="009A5AC8" w:rsidRDefault="009A5AC8" w:rsidP="009A5AC8">
      <w:r w:rsidRPr="009A5AC8">
        <w:t>These students are part of our target group, specifically because of the reason they qualify for the bursary – the support is clearly targeted. </w:t>
      </w:r>
    </w:p>
    <w:p w14:paraId="39A05B2E" w14:textId="77777777" w:rsidR="001B43BB" w:rsidRDefault="001B43BB" w:rsidP="00DD424C">
      <w:pPr>
        <w:pStyle w:val="Heading3"/>
        <w:sectPr w:rsidR="001B43BB" w:rsidSect="006A118C">
          <w:headerReference w:type="default" r:id="rId13"/>
          <w:footerReference w:type="default" r:id="rId14"/>
          <w:headerReference w:type="first" r:id="rId15"/>
          <w:footerReference w:type="first" r:id="rId16"/>
          <w:pgSz w:w="11906" w:h="16840"/>
          <w:pgMar w:top="1134" w:right="737" w:bottom="1134" w:left="1701" w:header="708" w:footer="708" w:gutter="0"/>
          <w:cols w:space="708"/>
          <w:titlePg/>
          <w:docGrid w:linePitch="360"/>
        </w:sectPr>
      </w:pPr>
    </w:p>
    <w:p w14:paraId="0D9DC1B5" w14:textId="6C630CC2" w:rsidR="00F653EB" w:rsidRDefault="00F653EB" w:rsidP="00F70337">
      <w:pPr>
        <w:pStyle w:val="Heading2"/>
      </w:pPr>
      <w:bookmarkStart w:id="15" w:name="_Toc225952930"/>
      <w:r>
        <w:lastRenderedPageBreak/>
        <w:t>Data collection</w:t>
      </w:r>
      <w:bookmarkEnd w:id="15"/>
    </w:p>
    <w:tbl>
      <w:tblPr>
        <w:tblStyle w:val="TableGrid"/>
        <w:tblW w:w="14072" w:type="dxa"/>
        <w:tblLook w:val="04A0" w:firstRow="1" w:lastRow="0" w:firstColumn="1" w:lastColumn="0" w:noHBand="0" w:noVBand="1"/>
      </w:tblPr>
      <w:tblGrid>
        <w:gridCol w:w="4045"/>
        <w:gridCol w:w="10027"/>
      </w:tblGrid>
      <w:tr w:rsidR="00877927" w:rsidRPr="009A5AC8" w14:paraId="76622F67" w14:textId="77777777" w:rsidTr="0095156A">
        <w:trPr>
          <w:trHeight w:val="264"/>
        </w:trPr>
        <w:tc>
          <w:tcPr>
            <w:tcW w:w="4045" w:type="dxa"/>
            <w:tcBorders>
              <w:bottom w:val="single" w:sz="4" w:space="0" w:color="auto"/>
            </w:tcBorders>
            <w:hideMark/>
          </w:tcPr>
          <w:p w14:paraId="1E5B2327" w14:textId="17FEFB33" w:rsidR="00877927" w:rsidRPr="00EE2F56" w:rsidRDefault="00877927" w:rsidP="009A5AC8">
            <w:pPr>
              <w:spacing w:before="0" w:line="240" w:lineRule="auto"/>
              <w:textAlignment w:val="baseline"/>
              <w:rPr>
                <w:rFonts w:cs="Arial"/>
                <w:b/>
                <w:bCs/>
                <w:szCs w:val="24"/>
              </w:rPr>
            </w:pPr>
          </w:p>
        </w:tc>
        <w:tc>
          <w:tcPr>
            <w:tcW w:w="10027" w:type="dxa"/>
            <w:tcBorders>
              <w:bottom w:val="single" w:sz="4" w:space="0" w:color="auto"/>
            </w:tcBorders>
            <w:hideMark/>
          </w:tcPr>
          <w:p w14:paraId="296053CE" w14:textId="2BF77F36" w:rsidR="00877927" w:rsidRPr="00EE2F56" w:rsidRDefault="00877927" w:rsidP="009A5AC8">
            <w:pPr>
              <w:spacing w:before="0" w:line="240" w:lineRule="auto"/>
              <w:textAlignment w:val="baseline"/>
              <w:rPr>
                <w:rFonts w:cs="Arial"/>
                <w:b/>
                <w:bCs/>
                <w:szCs w:val="24"/>
              </w:rPr>
            </w:pPr>
          </w:p>
        </w:tc>
      </w:tr>
      <w:tr w:rsidR="00877927" w:rsidRPr="009A5AC8" w14:paraId="38002348" w14:textId="77777777" w:rsidTr="0095156A">
        <w:trPr>
          <w:trHeight w:val="264"/>
        </w:trPr>
        <w:tc>
          <w:tcPr>
            <w:tcW w:w="4045" w:type="dxa"/>
            <w:tcBorders>
              <w:top w:val="single" w:sz="4" w:space="0" w:color="auto"/>
              <w:left w:val="single" w:sz="4" w:space="0" w:color="auto"/>
              <w:bottom w:val="single" w:sz="4" w:space="0" w:color="auto"/>
              <w:right w:val="single" w:sz="4" w:space="0" w:color="auto"/>
            </w:tcBorders>
            <w:hideMark/>
          </w:tcPr>
          <w:p w14:paraId="2FC181B9" w14:textId="77777777" w:rsidR="00877927" w:rsidRPr="009A5AC8" w:rsidRDefault="00877927" w:rsidP="009A5AC8">
            <w:pPr>
              <w:spacing w:before="0" w:line="240" w:lineRule="auto"/>
              <w:textAlignment w:val="baseline"/>
              <w:rPr>
                <w:rFonts w:cs="Arial"/>
                <w:szCs w:val="24"/>
              </w:rPr>
            </w:pPr>
            <w:r w:rsidRPr="009A5AC8">
              <w:rPr>
                <w:rFonts w:cs="Arial"/>
                <w:b/>
                <w:bCs/>
                <w:szCs w:val="24"/>
              </w:rPr>
              <w:t>Students receiving bursaries</w:t>
            </w:r>
            <w:r w:rsidRPr="009A5AC8">
              <w:rPr>
                <w:rFonts w:cs="Arial"/>
                <w:szCs w:val="24"/>
              </w:rPr>
              <w:t> </w:t>
            </w:r>
          </w:p>
        </w:tc>
        <w:tc>
          <w:tcPr>
            <w:tcW w:w="10027" w:type="dxa"/>
            <w:tcBorders>
              <w:top w:val="single" w:sz="4" w:space="0" w:color="auto"/>
              <w:left w:val="single" w:sz="4" w:space="0" w:color="auto"/>
              <w:bottom w:val="single" w:sz="4" w:space="0" w:color="auto"/>
              <w:right w:val="single" w:sz="4" w:space="0" w:color="auto"/>
            </w:tcBorders>
            <w:hideMark/>
          </w:tcPr>
          <w:p w14:paraId="2D9A6110" w14:textId="77777777" w:rsidR="00877927" w:rsidRPr="009A5AC8" w:rsidRDefault="00877927" w:rsidP="009A5AC8">
            <w:pPr>
              <w:spacing w:before="0" w:line="240" w:lineRule="auto"/>
              <w:textAlignment w:val="baseline"/>
              <w:rPr>
                <w:rFonts w:cs="Arial"/>
                <w:szCs w:val="24"/>
              </w:rPr>
            </w:pPr>
            <w:r w:rsidRPr="009A5AC8">
              <w:rPr>
                <w:rFonts w:cs="Arial"/>
                <w:szCs w:val="24"/>
              </w:rPr>
              <w:t>Internal data on bursary recipients  </w:t>
            </w:r>
          </w:p>
        </w:tc>
      </w:tr>
      <w:tr w:rsidR="00877927" w:rsidRPr="009A5AC8" w14:paraId="15B7DB5C" w14:textId="77777777" w:rsidTr="0095156A">
        <w:trPr>
          <w:trHeight w:val="264"/>
        </w:trPr>
        <w:tc>
          <w:tcPr>
            <w:tcW w:w="4045" w:type="dxa"/>
            <w:tcBorders>
              <w:top w:val="single" w:sz="4" w:space="0" w:color="auto"/>
              <w:left w:val="single" w:sz="4" w:space="0" w:color="auto"/>
              <w:bottom w:val="single" w:sz="4" w:space="0" w:color="auto"/>
              <w:right w:val="single" w:sz="4" w:space="0" w:color="auto"/>
            </w:tcBorders>
            <w:hideMark/>
          </w:tcPr>
          <w:p w14:paraId="78565AB1" w14:textId="77777777" w:rsidR="00877927" w:rsidRPr="009A5AC8" w:rsidRDefault="00877927" w:rsidP="009A5AC8">
            <w:pPr>
              <w:spacing w:before="0" w:line="240" w:lineRule="auto"/>
              <w:textAlignment w:val="baseline"/>
              <w:rPr>
                <w:rFonts w:cs="Arial"/>
                <w:szCs w:val="24"/>
              </w:rPr>
            </w:pPr>
            <w:r w:rsidRPr="009A5AC8">
              <w:rPr>
                <w:rFonts w:cs="Arial"/>
                <w:b/>
                <w:bCs/>
                <w:szCs w:val="24"/>
              </w:rPr>
              <w:t>Decrease in financial concerns</w:t>
            </w:r>
            <w:r w:rsidRPr="009A5AC8">
              <w:rPr>
                <w:rFonts w:cs="Arial"/>
                <w:szCs w:val="24"/>
              </w:rPr>
              <w:t> </w:t>
            </w:r>
          </w:p>
        </w:tc>
        <w:tc>
          <w:tcPr>
            <w:tcW w:w="10027" w:type="dxa"/>
            <w:tcBorders>
              <w:top w:val="single" w:sz="4" w:space="0" w:color="auto"/>
              <w:left w:val="single" w:sz="4" w:space="0" w:color="auto"/>
              <w:bottom w:val="single" w:sz="4" w:space="0" w:color="auto"/>
              <w:right w:val="single" w:sz="4" w:space="0" w:color="auto"/>
            </w:tcBorders>
            <w:hideMark/>
          </w:tcPr>
          <w:p w14:paraId="23E23AD4" w14:textId="77777777" w:rsidR="00877927" w:rsidRPr="009A5AC8" w:rsidRDefault="00877927" w:rsidP="009A5AC8">
            <w:pPr>
              <w:spacing w:before="0" w:line="240" w:lineRule="auto"/>
              <w:textAlignment w:val="baseline"/>
              <w:rPr>
                <w:rFonts w:cs="Arial"/>
                <w:szCs w:val="24"/>
              </w:rPr>
            </w:pPr>
            <w:r w:rsidRPr="009A5AC8">
              <w:rPr>
                <w:rFonts w:cs="Arial"/>
                <w:szCs w:val="24"/>
              </w:rPr>
              <w:t>Questionnaires. Questions: </w:t>
            </w:r>
          </w:p>
          <w:p w14:paraId="38F79AAD"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How important do you think the Reading Bursary has been for your ability to </w:t>
            </w:r>
          </w:p>
          <w:p w14:paraId="0DF5B984"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financially continue with your studies? </w:t>
            </w:r>
          </w:p>
          <w:p w14:paraId="26DAA830"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 </w:t>
            </w:r>
          </w:p>
          <w:p w14:paraId="319AC945" w14:textId="1F0B706B" w:rsidR="00877927" w:rsidRPr="009A5AC8" w:rsidRDefault="00877927" w:rsidP="009A5AC8">
            <w:pPr>
              <w:spacing w:before="0" w:line="240" w:lineRule="auto"/>
              <w:textAlignment w:val="baseline"/>
              <w:rPr>
                <w:rFonts w:cs="Arial"/>
                <w:szCs w:val="24"/>
              </w:rPr>
            </w:pPr>
            <w:r w:rsidRPr="009A5AC8">
              <w:rPr>
                <w:rFonts w:cs="Arial"/>
                <w:color w:val="000000"/>
                <w:szCs w:val="24"/>
              </w:rPr>
              <w:t>Please tell us how much you agree with the following statement?: Receiving financial support helps me to afford to participate along with</w:t>
            </w:r>
            <w:r w:rsidR="009959BC">
              <w:rPr>
                <w:rFonts w:cs="Arial"/>
                <w:color w:val="000000"/>
                <w:szCs w:val="24"/>
              </w:rPr>
              <w:t xml:space="preserve"> </w:t>
            </w:r>
            <w:r w:rsidRPr="009A5AC8">
              <w:rPr>
                <w:rFonts w:cs="Arial"/>
                <w:color w:val="000000"/>
                <w:szCs w:val="24"/>
              </w:rPr>
              <w:t>my fellow students</w:t>
            </w:r>
            <w:r w:rsidR="009959BC">
              <w:rPr>
                <w:rFonts w:cs="Arial"/>
                <w:color w:val="000000"/>
                <w:szCs w:val="24"/>
              </w:rPr>
              <w:t>.</w:t>
            </w:r>
            <w:r w:rsidRPr="009A5AC8">
              <w:rPr>
                <w:rFonts w:cs="Arial"/>
                <w:color w:val="000000"/>
                <w:szCs w:val="24"/>
              </w:rPr>
              <w:t> </w:t>
            </w:r>
          </w:p>
          <w:p w14:paraId="1A282772"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 </w:t>
            </w:r>
          </w:p>
          <w:p w14:paraId="2C355322" w14:textId="1E0896DF" w:rsidR="00877927" w:rsidRPr="009A5AC8" w:rsidRDefault="00877927" w:rsidP="009A5AC8">
            <w:pPr>
              <w:spacing w:before="0" w:line="240" w:lineRule="auto"/>
              <w:textAlignment w:val="baseline"/>
              <w:rPr>
                <w:rFonts w:cs="Arial"/>
                <w:szCs w:val="24"/>
              </w:rPr>
            </w:pPr>
            <w:r w:rsidRPr="009A5AC8">
              <w:rPr>
                <w:rFonts w:cs="Arial"/>
                <w:color w:val="000000"/>
                <w:szCs w:val="24"/>
              </w:rPr>
              <w:t>Please tell us how much you agree with the following statement?: Receiving financial support helps me to be able to concentrate on my studies without worrying about my finances</w:t>
            </w:r>
            <w:r w:rsidR="009959BC">
              <w:rPr>
                <w:rFonts w:cs="Arial"/>
                <w:color w:val="000000"/>
                <w:szCs w:val="24"/>
              </w:rPr>
              <w:t>.</w:t>
            </w:r>
          </w:p>
          <w:p w14:paraId="14C31200"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 </w:t>
            </w:r>
          </w:p>
          <w:p w14:paraId="12C3CBD9" w14:textId="2034D60E" w:rsidR="00877927" w:rsidRPr="009A5AC8" w:rsidRDefault="00877927" w:rsidP="009A5AC8">
            <w:pPr>
              <w:spacing w:before="0" w:line="240" w:lineRule="auto"/>
              <w:textAlignment w:val="baseline"/>
              <w:rPr>
                <w:rFonts w:cs="Arial"/>
                <w:szCs w:val="24"/>
              </w:rPr>
            </w:pPr>
            <w:r w:rsidRPr="009A5AC8">
              <w:rPr>
                <w:rFonts w:cs="Arial"/>
                <w:color w:val="000000"/>
                <w:szCs w:val="24"/>
              </w:rPr>
              <w:t>Please tell us how much you agree with the following statement?: Receiving financial support helps me to feel part of the university community</w:t>
            </w:r>
            <w:r w:rsidR="009959BC">
              <w:rPr>
                <w:rFonts w:cs="Arial"/>
                <w:color w:val="000000"/>
                <w:szCs w:val="24"/>
              </w:rPr>
              <w:t>.</w:t>
            </w:r>
          </w:p>
          <w:p w14:paraId="7C6FEE17"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 </w:t>
            </w:r>
          </w:p>
          <w:p w14:paraId="466F2C6D" w14:textId="26048D90" w:rsidR="00877927" w:rsidRPr="009A5AC8" w:rsidRDefault="00877927" w:rsidP="009A5AC8">
            <w:pPr>
              <w:spacing w:before="0" w:line="240" w:lineRule="auto"/>
              <w:textAlignment w:val="baseline"/>
              <w:rPr>
                <w:rFonts w:cs="Arial"/>
                <w:szCs w:val="24"/>
              </w:rPr>
            </w:pPr>
            <w:r w:rsidRPr="009A5AC8">
              <w:rPr>
                <w:rFonts w:cs="Arial"/>
                <w:color w:val="000000"/>
                <w:szCs w:val="24"/>
              </w:rPr>
              <w:t>Please tell us how much you agree with the following statement?: Receiving financial support helps me to feel less anxious than I would have felt otherwise</w:t>
            </w:r>
            <w:r w:rsidR="009959BC">
              <w:rPr>
                <w:rFonts w:cs="Arial"/>
                <w:color w:val="000000"/>
                <w:szCs w:val="24"/>
              </w:rPr>
              <w:t>.</w:t>
            </w:r>
            <w:r w:rsidRPr="009A5AC8">
              <w:rPr>
                <w:rFonts w:cs="Arial"/>
                <w:color w:val="000000"/>
                <w:szCs w:val="24"/>
              </w:rPr>
              <w:t> </w:t>
            </w:r>
          </w:p>
          <w:p w14:paraId="32081F26"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 </w:t>
            </w:r>
          </w:p>
          <w:p w14:paraId="7C9FCE91"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Please tell us a bit more about the impact of the bursary on your levels of financial anxiety. </w:t>
            </w:r>
          </w:p>
          <w:p w14:paraId="19C481BF" w14:textId="77777777" w:rsidR="00877927" w:rsidRPr="009A5AC8" w:rsidRDefault="00877927" w:rsidP="009A5AC8">
            <w:pPr>
              <w:spacing w:before="0" w:line="240" w:lineRule="auto"/>
              <w:textAlignment w:val="baseline"/>
              <w:rPr>
                <w:rFonts w:cs="Arial"/>
                <w:szCs w:val="24"/>
              </w:rPr>
            </w:pPr>
            <w:r w:rsidRPr="009A5AC8">
              <w:rPr>
                <w:rFonts w:cs="Arial"/>
                <w:color w:val="000000"/>
                <w:szCs w:val="24"/>
              </w:rPr>
              <w:t> </w:t>
            </w:r>
          </w:p>
          <w:p w14:paraId="2972BC7E" w14:textId="2BCBDBCF" w:rsidR="00877927" w:rsidRPr="009A5AC8" w:rsidRDefault="00877927" w:rsidP="009A5AC8">
            <w:pPr>
              <w:spacing w:before="0" w:line="240" w:lineRule="auto"/>
              <w:textAlignment w:val="baseline"/>
              <w:rPr>
                <w:rFonts w:cs="Arial"/>
                <w:szCs w:val="24"/>
              </w:rPr>
            </w:pPr>
            <w:r w:rsidRPr="009A5AC8">
              <w:rPr>
                <w:rFonts w:cs="Arial"/>
                <w:color w:val="000000"/>
                <w:szCs w:val="24"/>
              </w:rPr>
              <w:t>Please tell us how much you agree with the following statement? Receiving financial support helps me to feel more satisfied with my life as a student </w:t>
            </w:r>
          </w:p>
          <w:p w14:paraId="12995D94" w14:textId="3CB0A6F4" w:rsidR="00877927" w:rsidRPr="009A5AC8" w:rsidRDefault="00877927" w:rsidP="009A5AC8">
            <w:pPr>
              <w:spacing w:before="0" w:line="240" w:lineRule="auto"/>
              <w:textAlignment w:val="baseline"/>
              <w:rPr>
                <w:rFonts w:cs="Arial"/>
                <w:szCs w:val="24"/>
              </w:rPr>
            </w:pPr>
            <w:r w:rsidRPr="009A5AC8">
              <w:rPr>
                <w:rFonts w:cs="Arial"/>
                <w:szCs w:val="24"/>
              </w:rPr>
              <w:t>  </w:t>
            </w:r>
          </w:p>
        </w:tc>
      </w:tr>
      <w:tr w:rsidR="00877927" w:rsidRPr="009A5AC8" w14:paraId="6DED9C2D" w14:textId="77777777" w:rsidTr="0095156A">
        <w:trPr>
          <w:trHeight w:val="264"/>
        </w:trPr>
        <w:tc>
          <w:tcPr>
            <w:tcW w:w="4045" w:type="dxa"/>
            <w:tcBorders>
              <w:top w:val="single" w:sz="4" w:space="0" w:color="auto"/>
              <w:left w:val="single" w:sz="4" w:space="0" w:color="auto"/>
              <w:bottom w:val="single" w:sz="4" w:space="0" w:color="auto"/>
              <w:right w:val="single" w:sz="4" w:space="0" w:color="auto"/>
            </w:tcBorders>
            <w:hideMark/>
          </w:tcPr>
          <w:p w14:paraId="496715CA" w14:textId="77777777" w:rsidR="00877927" w:rsidRPr="009A5AC8" w:rsidRDefault="00877927" w:rsidP="009A5AC8">
            <w:pPr>
              <w:spacing w:before="0" w:line="240" w:lineRule="auto"/>
              <w:textAlignment w:val="baseline"/>
              <w:rPr>
                <w:rFonts w:cs="Arial"/>
                <w:szCs w:val="24"/>
              </w:rPr>
            </w:pPr>
            <w:r w:rsidRPr="009A5AC8">
              <w:rPr>
                <w:rFonts w:cs="Arial"/>
                <w:b/>
                <w:bCs/>
                <w:szCs w:val="24"/>
              </w:rPr>
              <w:t>Reduced part time work</w:t>
            </w:r>
            <w:r w:rsidRPr="009A5AC8">
              <w:rPr>
                <w:rFonts w:cs="Arial"/>
                <w:szCs w:val="24"/>
              </w:rPr>
              <w:t> </w:t>
            </w:r>
          </w:p>
        </w:tc>
        <w:tc>
          <w:tcPr>
            <w:tcW w:w="10027" w:type="dxa"/>
            <w:tcBorders>
              <w:top w:val="single" w:sz="4" w:space="0" w:color="auto"/>
              <w:left w:val="single" w:sz="4" w:space="0" w:color="auto"/>
              <w:bottom w:val="single" w:sz="4" w:space="0" w:color="auto"/>
              <w:right w:val="single" w:sz="4" w:space="0" w:color="auto"/>
            </w:tcBorders>
            <w:hideMark/>
          </w:tcPr>
          <w:p w14:paraId="12BBB729" w14:textId="4F34A2EC" w:rsidR="00877927" w:rsidRPr="009A5AC8" w:rsidRDefault="00877927" w:rsidP="009A5AC8">
            <w:pPr>
              <w:spacing w:before="0" w:line="240" w:lineRule="auto"/>
              <w:textAlignment w:val="baseline"/>
              <w:rPr>
                <w:rFonts w:cs="Arial"/>
                <w:szCs w:val="24"/>
              </w:rPr>
            </w:pPr>
            <w:r w:rsidRPr="009A5AC8">
              <w:rPr>
                <w:rFonts w:cs="Arial"/>
                <w:szCs w:val="24"/>
              </w:rPr>
              <w:t>Survey </w:t>
            </w:r>
            <w:r w:rsidR="00A2240A">
              <w:rPr>
                <w:rFonts w:cs="Arial"/>
                <w:szCs w:val="24"/>
              </w:rPr>
              <w:t>question.</w:t>
            </w:r>
          </w:p>
        </w:tc>
      </w:tr>
      <w:tr w:rsidR="00222920" w:rsidRPr="009A5AC8" w14:paraId="325315E4" w14:textId="77777777" w:rsidTr="0095156A">
        <w:trPr>
          <w:trHeight w:val="264"/>
        </w:trPr>
        <w:tc>
          <w:tcPr>
            <w:tcW w:w="4045" w:type="dxa"/>
            <w:tcBorders>
              <w:top w:val="single" w:sz="4" w:space="0" w:color="auto"/>
              <w:left w:val="single" w:sz="4" w:space="0" w:color="auto"/>
              <w:bottom w:val="single" w:sz="4" w:space="0" w:color="auto"/>
              <w:right w:val="single" w:sz="4" w:space="0" w:color="auto"/>
            </w:tcBorders>
          </w:tcPr>
          <w:p w14:paraId="69EA44C8" w14:textId="44BD3978" w:rsidR="00222920" w:rsidRPr="009A5AC8" w:rsidRDefault="00222920" w:rsidP="009A5AC8">
            <w:pPr>
              <w:spacing w:before="0" w:line="240" w:lineRule="auto"/>
              <w:textAlignment w:val="baseline"/>
              <w:rPr>
                <w:rFonts w:cs="Arial"/>
                <w:b/>
                <w:bCs/>
                <w:szCs w:val="24"/>
              </w:rPr>
            </w:pPr>
            <w:r>
              <w:rPr>
                <w:rFonts w:cs="Arial"/>
                <w:b/>
                <w:bCs/>
                <w:szCs w:val="24"/>
              </w:rPr>
              <w:t>Continuation</w:t>
            </w:r>
            <w:r w:rsidR="00794B2D">
              <w:rPr>
                <w:rFonts w:cs="Arial"/>
                <w:b/>
                <w:bCs/>
                <w:szCs w:val="24"/>
              </w:rPr>
              <w:t xml:space="preserve"> and progression</w:t>
            </w:r>
          </w:p>
        </w:tc>
        <w:tc>
          <w:tcPr>
            <w:tcW w:w="10027" w:type="dxa"/>
            <w:tcBorders>
              <w:top w:val="single" w:sz="4" w:space="0" w:color="auto"/>
              <w:left w:val="single" w:sz="4" w:space="0" w:color="auto"/>
              <w:bottom w:val="single" w:sz="4" w:space="0" w:color="auto"/>
              <w:right w:val="single" w:sz="4" w:space="0" w:color="auto"/>
            </w:tcBorders>
          </w:tcPr>
          <w:p w14:paraId="5B5DA36B" w14:textId="15326C51" w:rsidR="00222920" w:rsidRPr="009A5AC8" w:rsidRDefault="00222920" w:rsidP="009A5AC8">
            <w:pPr>
              <w:spacing w:before="0" w:line="240" w:lineRule="auto"/>
              <w:textAlignment w:val="baseline"/>
              <w:rPr>
                <w:rFonts w:cs="Arial"/>
                <w:szCs w:val="24"/>
              </w:rPr>
            </w:pPr>
            <w:r w:rsidRPr="009A5AC8">
              <w:rPr>
                <w:rFonts w:cs="Arial"/>
                <w:szCs w:val="24"/>
              </w:rPr>
              <w:t>Internal data on</w:t>
            </w:r>
            <w:r>
              <w:rPr>
                <w:rFonts w:cs="Arial"/>
                <w:szCs w:val="24"/>
              </w:rPr>
              <w:t xml:space="preserve"> continuation.</w:t>
            </w:r>
          </w:p>
        </w:tc>
      </w:tr>
      <w:tr w:rsidR="00877927" w:rsidRPr="009A5AC8" w14:paraId="5DD582E1" w14:textId="77777777" w:rsidTr="0095156A">
        <w:trPr>
          <w:trHeight w:val="264"/>
        </w:trPr>
        <w:tc>
          <w:tcPr>
            <w:tcW w:w="4045" w:type="dxa"/>
            <w:tcBorders>
              <w:top w:val="single" w:sz="4" w:space="0" w:color="auto"/>
              <w:left w:val="single" w:sz="4" w:space="0" w:color="auto"/>
              <w:bottom w:val="single" w:sz="4" w:space="0" w:color="auto"/>
              <w:right w:val="single" w:sz="4" w:space="0" w:color="auto"/>
            </w:tcBorders>
            <w:hideMark/>
          </w:tcPr>
          <w:p w14:paraId="4F8D6095" w14:textId="12DF6EC1" w:rsidR="00877927" w:rsidRPr="009A5AC8" w:rsidRDefault="00877927" w:rsidP="009A5AC8">
            <w:pPr>
              <w:spacing w:before="0" w:line="240" w:lineRule="auto"/>
              <w:textAlignment w:val="baseline"/>
              <w:rPr>
                <w:rFonts w:cs="Arial"/>
              </w:rPr>
            </w:pPr>
            <w:r w:rsidRPr="70D68C31">
              <w:rPr>
                <w:rFonts w:cs="Arial"/>
                <w:b/>
              </w:rPr>
              <w:t>Degree outcomes</w:t>
            </w:r>
            <w:r w:rsidRPr="70D68C31">
              <w:rPr>
                <w:rFonts w:cs="Arial"/>
              </w:rPr>
              <w:t> </w:t>
            </w:r>
          </w:p>
        </w:tc>
        <w:tc>
          <w:tcPr>
            <w:tcW w:w="10027" w:type="dxa"/>
            <w:tcBorders>
              <w:top w:val="single" w:sz="4" w:space="0" w:color="auto"/>
              <w:left w:val="single" w:sz="4" w:space="0" w:color="auto"/>
              <w:bottom w:val="single" w:sz="4" w:space="0" w:color="auto"/>
              <w:right w:val="single" w:sz="4" w:space="0" w:color="auto"/>
            </w:tcBorders>
            <w:hideMark/>
          </w:tcPr>
          <w:p w14:paraId="7DBF263E" w14:textId="77777777" w:rsidR="00877927" w:rsidRPr="009A5AC8" w:rsidRDefault="00877927" w:rsidP="009A5AC8">
            <w:pPr>
              <w:spacing w:before="0" w:line="240" w:lineRule="auto"/>
              <w:textAlignment w:val="baseline"/>
              <w:rPr>
                <w:rFonts w:cs="Arial"/>
                <w:szCs w:val="24"/>
              </w:rPr>
            </w:pPr>
            <w:r w:rsidRPr="009A5AC8">
              <w:rPr>
                <w:rFonts w:cs="Arial"/>
                <w:szCs w:val="24"/>
              </w:rPr>
              <w:t>Internal data on degree award. </w:t>
            </w:r>
          </w:p>
        </w:tc>
      </w:tr>
    </w:tbl>
    <w:p w14:paraId="2D6BC88C" w14:textId="77777777" w:rsidR="00A87BA4" w:rsidRDefault="00A87BA4" w:rsidP="00F653EB">
      <w:pPr>
        <w:sectPr w:rsidR="00A87BA4" w:rsidSect="001B43BB">
          <w:pgSz w:w="16840" w:h="11906" w:orient="landscape"/>
          <w:pgMar w:top="1701" w:right="1134" w:bottom="737" w:left="1134" w:header="709" w:footer="709" w:gutter="0"/>
          <w:cols w:space="708"/>
          <w:titlePg/>
          <w:docGrid w:linePitch="360"/>
        </w:sectPr>
      </w:pPr>
    </w:p>
    <w:p w14:paraId="046E4D51" w14:textId="2A7857C5" w:rsidR="00794B2D" w:rsidRPr="00F94C7C" w:rsidRDefault="00794B2D" w:rsidP="00F653EB">
      <w:pPr>
        <w:rPr>
          <w:b/>
          <w:bCs/>
        </w:rPr>
      </w:pPr>
      <w:r w:rsidRPr="00F94C7C">
        <w:rPr>
          <w:b/>
          <w:bCs/>
        </w:rPr>
        <w:lastRenderedPageBreak/>
        <w:t>Full methodology for PSO analysis</w:t>
      </w:r>
    </w:p>
    <w:p w14:paraId="60CFB2EC" w14:textId="77777777" w:rsidR="00F94C7C" w:rsidRPr="0071273E" w:rsidRDefault="00F94C7C" w:rsidP="00F94C7C">
      <w:pPr>
        <w:spacing w:line="276" w:lineRule="auto"/>
      </w:pPr>
      <w:r w:rsidRPr="0071273E">
        <w:t xml:space="preserve">In previous years a data file was shared with the University from the </w:t>
      </w:r>
      <w:r>
        <w:t>Designated</w:t>
      </w:r>
      <w:r w:rsidRPr="0071273E">
        <w:t xml:space="preserve"> Data Body (DDB), Jisc, for use with the </w:t>
      </w:r>
      <w:proofErr w:type="spellStart"/>
      <w:r w:rsidRPr="0071273E">
        <w:t>OfS</w:t>
      </w:r>
      <w:proofErr w:type="spellEnd"/>
      <w:r w:rsidRPr="0071273E">
        <w:t xml:space="preserve"> financial support evaluation toolkit. After the January 2024 update this was discontinued. The Planning &amp; Strategy Office (PSO) have reconstructed the dataset for subsequent years using the technical documentation provided by the </w:t>
      </w:r>
      <w:proofErr w:type="spellStart"/>
      <w:r w:rsidRPr="0071273E">
        <w:t>OfS</w:t>
      </w:r>
      <w:proofErr w:type="spellEnd"/>
      <w:r w:rsidRPr="0071273E">
        <w:t xml:space="preserve"> and Jisc from previous releases. Necessary updates have been made to reflect changes to the specification</w:t>
      </w:r>
      <w:r>
        <w:t>s of the Student</w:t>
      </w:r>
      <w:r w:rsidRPr="0071273E">
        <w:t xml:space="preserve"> and </w:t>
      </w:r>
      <w:r>
        <w:t>G</w:t>
      </w:r>
      <w:r w:rsidRPr="0071273E">
        <w:t xml:space="preserve">raduate </w:t>
      </w:r>
      <w:r>
        <w:t>O</w:t>
      </w:r>
      <w:r w:rsidRPr="0071273E">
        <w:t>utcome records since the January 2024 release. Every effort has been made to match the previous data to allow for comparisons over time, but there may be instances where a direct reproduction is not possible, so as close an approximation as possible has been made. The purpose of this data is to enable evaluation of financial support offerings to students, as well as understanding the impact of these investments on the retention and success of students.</w:t>
      </w:r>
    </w:p>
    <w:p w14:paraId="1B0FEB77" w14:textId="77777777" w:rsidR="00F94C7C" w:rsidRPr="00073232" w:rsidRDefault="00F94C7C" w:rsidP="00F94C7C">
      <w:pPr>
        <w:spacing w:line="276" w:lineRule="auto"/>
      </w:pPr>
      <w:r w:rsidRPr="00073232">
        <w:t>The data contains:</w:t>
      </w:r>
      <w:r>
        <w:t xml:space="preserve"> </w:t>
      </w:r>
    </w:p>
    <w:p w14:paraId="4CC90501" w14:textId="77777777" w:rsidR="00F94C7C" w:rsidRPr="00073232" w:rsidRDefault="00F94C7C" w:rsidP="00F94C7C">
      <w:pPr>
        <w:pStyle w:val="ListParagraph"/>
        <w:numPr>
          <w:ilvl w:val="0"/>
          <w:numId w:val="28"/>
        </w:numPr>
        <w:spacing w:line="276" w:lineRule="auto"/>
      </w:pPr>
      <w:r w:rsidRPr="00073232">
        <w:t>Full-time, first degree entrants for each cohort.</w:t>
      </w:r>
    </w:p>
    <w:p w14:paraId="56D1C9DC" w14:textId="77777777" w:rsidR="00F94C7C" w:rsidRPr="00073232" w:rsidRDefault="00F94C7C" w:rsidP="00F94C7C">
      <w:pPr>
        <w:pStyle w:val="ListParagraph"/>
        <w:numPr>
          <w:ilvl w:val="0"/>
          <w:numId w:val="28"/>
        </w:numPr>
        <w:spacing w:line="276" w:lineRule="auto"/>
      </w:pPr>
      <w:r w:rsidRPr="00073232">
        <w:t>Sandwich students.</w:t>
      </w:r>
    </w:p>
    <w:p w14:paraId="4939D63C" w14:textId="77777777" w:rsidR="00F94C7C" w:rsidRPr="00073232" w:rsidRDefault="00F94C7C" w:rsidP="00F94C7C">
      <w:pPr>
        <w:pStyle w:val="ListParagraph"/>
        <w:numPr>
          <w:ilvl w:val="0"/>
          <w:numId w:val="28"/>
        </w:numPr>
        <w:spacing w:line="276" w:lineRule="auto"/>
      </w:pPr>
      <w:r w:rsidRPr="00073232">
        <w:t>English-domiciled students.</w:t>
      </w:r>
    </w:p>
    <w:p w14:paraId="4ADCA96B" w14:textId="77777777" w:rsidR="00F94C7C" w:rsidRPr="00073232" w:rsidRDefault="00F94C7C" w:rsidP="00F94C7C">
      <w:pPr>
        <w:pStyle w:val="ListParagraph"/>
        <w:numPr>
          <w:ilvl w:val="0"/>
          <w:numId w:val="28"/>
        </w:numPr>
        <w:spacing w:line="276" w:lineRule="auto"/>
      </w:pPr>
      <w:proofErr w:type="spellStart"/>
      <w:r w:rsidRPr="00073232">
        <w:t>OfS</w:t>
      </w:r>
      <w:proofErr w:type="spellEnd"/>
      <w:r w:rsidRPr="00073232">
        <w:t>-funded students (including Initial Teacher Training).</w:t>
      </w:r>
    </w:p>
    <w:p w14:paraId="0E5C3DBF" w14:textId="77777777" w:rsidR="00F94C7C" w:rsidRPr="00073232" w:rsidRDefault="00F94C7C" w:rsidP="00F94C7C">
      <w:pPr>
        <w:spacing w:line="276" w:lineRule="auto"/>
      </w:pPr>
      <w:r w:rsidRPr="00073232">
        <w:t>The data excludes:</w:t>
      </w:r>
    </w:p>
    <w:p w14:paraId="03B993FE" w14:textId="77777777" w:rsidR="00F94C7C" w:rsidRPr="00073232" w:rsidRDefault="00F94C7C" w:rsidP="00F94C7C">
      <w:pPr>
        <w:pStyle w:val="ListParagraph"/>
        <w:numPr>
          <w:ilvl w:val="0"/>
          <w:numId w:val="29"/>
        </w:numPr>
        <w:spacing w:line="276" w:lineRule="auto"/>
      </w:pPr>
      <w:r w:rsidRPr="00073232">
        <w:t>Students on degree courses over five years in length.</w:t>
      </w:r>
    </w:p>
    <w:p w14:paraId="016F3551" w14:textId="77777777" w:rsidR="00F94C7C" w:rsidRPr="00073232" w:rsidRDefault="00F94C7C" w:rsidP="00F94C7C">
      <w:pPr>
        <w:pStyle w:val="ListParagraph"/>
        <w:numPr>
          <w:ilvl w:val="0"/>
          <w:numId w:val="29"/>
        </w:numPr>
        <w:spacing w:line="276" w:lineRule="auto"/>
      </w:pPr>
      <w:r w:rsidRPr="00073232">
        <w:t>Students who qualified with a first degree in their year of entry.</w:t>
      </w:r>
    </w:p>
    <w:p w14:paraId="225D2730" w14:textId="77777777" w:rsidR="00F94C7C" w:rsidRPr="00073232" w:rsidRDefault="00F94C7C" w:rsidP="00F94C7C">
      <w:pPr>
        <w:pStyle w:val="ListParagraph"/>
        <w:numPr>
          <w:ilvl w:val="0"/>
          <w:numId w:val="29"/>
        </w:numPr>
        <w:spacing w:line="276" w:lineRule="auto"/>
      </w:pPr>
      <w:r w:rsidRPr="00073232">
        <w:t>Students who left their course prior to 1 December in the relevant year.</w:t>
      </w:r>
    </w:p>
    <w:p w14:paraId="6AB53035" w14:textId="77777777" w:rsidR="00F94C7C" w:rsidRPr="00073232" w:rsidRDefault="00F94C7C" w:rsidP="00F94C7C">
      <w:pPr>
        <w:pStyle w:val="ListParagraph"/>
        <w:numPr>
          <w:ilvl w:val="0"/>
          <w:numId w:val="29"/>
        </w:numPr>
        <w:spacing w:line="276" w:lineRule="auto"/>
      </w:pPr>
      <w:r w:rsidRPr="00073232">
        <w:t>Students whose reason for leaving the course was serious illness or death.</w:t>
      </w:r>
    </w:p>
    <w:p w14:paraId="5D1B9BE9" w14:textId="77777777" w:rsidR="00794B2D" w:rsidRDefault="00794B2D" w:rsidP="00F653EB"/>
    <w:p w14:paraId="29351213" w14:textId="77777777" w:rsidR="00A87BA4" w:rsidRPr="007C335E" w:rsidRDefault="00A87BA4" w:rsidP="00A87BA4">
      <w:pPr>
        <w:spacing w:line="276" w:lineRule="auto"/>
      </w:pPr>
      <w:r w:rsidRPr="007C335E">
        <w:t>The Planning and Strategy Office (PSO) conducted binary logistic regression analyses on the following variables:</w:t>
      </w:r>
    </w:p>
    <w:p w14:paraId="740332B3" w14:textId="77777777" w:rsidR="00A87BA4" w:rsidRPr="007C335E" w:rsidRDefault="00A87BA4" w:rsidP="00A87BA4">
      <w:pPr>
        <w:pStyle w:val="ListParagraph"/>
        <w:numPr>
          <w:ilvl w:val="0"/>
          <w:numId w:val="30"/>
        </w:numPr>
        <w:spacing w:line="276" w:lineRule="auto"/>
      </w:pPr>
      <w:r w:rsidRPr="007C335E">
        <w:rPr>
          <w:b/>
          <w:bCs/>
        </w:rPr>
        <w:t>Continuation of students into their second year of study</w:t>
      </w:r>
      <w:r w:rsidRPr="007C335E">
        <w:t xml:space="preserve"> – This relates to the 2021/22, 2022/23, and 2023/24 cohorts. Only students continuing on a full-time or part-time first degree or higher level course the following year are classified as continuing.</w:t>
      </w:r>
    </w:p>
    <w:p w14:paraId="39BCE807" w14:textId="77777777" w:rsidR="00A87BA4" w:rsidRPr="007C335E" w:rsidRDefault="00A87BA4" w:rsidP="00A87BA4">
      <w:pPr>
        <w:pStyle w:val="ListParagraph"/>
        <w:numPr>
          <w:ilvl w:val="0"/>
          <w:numId w:val="30"/>
        </w:numPr>
        <w:spacing w:line="276" w:lineRule="auto"/>
      </w:pPr>
      <w:r w:rsidRPr="007C335E">
        <w:rPr>
          <w:b/>
          <w:bCs/>
        </w:rPr>
        <w:t>Degree completion within five years</w:t>
      </w:r>
      <w:r w:rsidRPr="007C335E">
        <w:t xml:space="preserve"> – This relates to the 2018/19, 2019/20, and 2020/21 cohorts. Only students who gained a first degree or higher degree at the same HE provider within 4 years are classified as completing.</w:t>
      </w:r>
    </w:p>
    <w:p w14:paraId="1F1E16B5" w14:textId="77777777" w:rsidR="00A87BA4" w:rsidRPr="007C335E" w:rsidRDefault="00A87BA4" w:rsidP="00A87BA4">
      <w:pPr>
        <w:pStyle w:val="ListParagraph"/>
        <w:numPr>
          <w:ilvl w:val="0"/>
          <w:numId w:val="30"/>
        </w:numPr>
        <w:spacing w:line="276" w:lineRule="auto"/>
      </w:pPr>
      <w:r w:rsidRPr="007C335E">
        <w:rPr>
          <w:b/>
          <w:bCs/>
        </w:rPr>
        <w:t>Attained a good degree</w:t>
      </w:r>
      <w:r w:rsidRPr="007C335E">
        <w:t xml:space="preserve"> – This relates to the 2018/19, 2019/20, and 2020/21 cohorts. Only students who gained a first class / upper second first degree qualification within 4 years are classified as attaining. </w:t>
      </w:r>
    </w:p>
    <w:p w14:paraId="6059E024" w14:textId="77777777" w:rsidR="00A87BA4" w:rsidRPr="007C335E" w:rsidRDefault="00A87BA4" w:rsidP="00A87BA4">
      <w:pPr>
        <w:spacing w:line="276" w:lineRule="auto"/>
      </w:pPr>
      <w:r w:rsidRPr="007C335E">
        <w:t xml:space="preserve">The declared household income data for the students were obtained from the University’s Student Financial Support team and mapped into the data using the Student </w:t>
      </w:r>
      <w:r w:rsidRPr="007C335E">
        <w:lastRenderedPageBreak/>
        <w:t>Support Numbers. The continuation data uses only the household income data for the student’s year of entry, whereas the degree outcomes data use up to three years of household income data to provide the highest percentage of known values.</w:t>
      </w:r>
    </w:p>
    <w:p w14:paraId="72F89C5E" w14:textId="77777777" w:rsidR="00A87BA4" w:rsidRPr="007C335E" w:rsidRDefault="00A87BA4" w:rsidP="00A87BA4">
      <w:pPr>
        <w:spacing w:line="276" w:lineRule="auto"/>
      </w:pPr>
      <w:r w:rsidRPr="007C335E">
        <w:t>The household income data were coded into 5 groups to provide a basis for the analysis:</w:t>
      </w:r>
    </w:p>
    <w:p w14:paraId="4693B371" w14:textId="77777777" w:rsidR="00A87BA4" w:rsidRPr="007C335E" w:rsidRDefault="00A87BA4" w:rsidP="00A87BA4">
      <w:pPr>
        <w:pStyle w:val="ListParagraph"/>
        <w:numPr>
          <w:ilvl w:val="0"/>
          <w:numId w:val="31"/>
        </w:numPr>
        <w:spacing w:line="276" w:lineRule="auto"/>
      </w:pPr>
      <w:r w:rsidRPr="007C335E">
        <w:rPr>
          <w:b/>
          <w:bCs/>
        </w:rPr>
        <w:t>Students with a household income between</w:t>
      </w:r>
      <w:r>
        <w:rPr>
          <w:b/>
          <w:bCs/>
        </w:rPr>
        <w:t xml:space="preserve"> £27,001</w:t>
      </w:r>
      <w:r w:rsidRPr="007C335E">
        <w:rPr>
          <w:b/>
          <w:bCs/>
        </w:rPr>
        <w:t xml:space="preserve"> (£2</w:t>
      </w:r>
      <w:r>
        <w:rPr>
          <w:b/>
          <w:bCs/>
        </w:rPr>
        <w:t>5</w:t>
      </w:r>
      <w:r w:rsidRPr="007C335E">
        <w:rPr>
          <w:b/>
          <w:bCs/>
        </w:rPr>
        <w:t xml:space="preserve">,001 for </w:t>
      </w:r>
      <w:r>
        <w:rPr>
          <w:b/>
          <w:bCs/>
        </w:rPr>
        <w:t>the</w:t>
      </w:r>
      <w:r w:rsidRPr="007C335E">
        <w:rPr>
          <w:b/>
          <w:bCs/>
        </w:rPr>
        <w:t xml:space="preserve"> 201</w:t>
      </w:r>
      <w:r>
        <w:rPr>
          <w:b/>
          <w:bCs/>
        </w:rPr>
        <w:t>8</w:t>
      </w:r>
      <w:r w:rsidRPr="007C335E">
        <w:rPr>
          <w:b/>
          <w:bCs/>
        </w:rPr>
        <w:t>/</w:t>
      </w:r>
      <w:r>
        <w:rPr>
          <w:b/>
          <w:bCs/>
        </w:rPr>
        <w:t>19</w:t>
      </w:r>
      <w:r w:rsidRPr="007C335E">
        <w:rPr>
          <w:b/>
          <w:bCs/>
        </w:rPr>
        <w:t xml:space="preserve"> cohort) and £32,000</w:t>
      </w:r>
      <w:r w:rsidRPr="007C335E">
        <w:t xml:space="preserve"> – this is the reference group for the analysis.</w:t>
      </w:r>
    </w:p>
    <w:p w14:paraId="2B57C21B" w14:textId="77777777" w:rsidR="00A87BA4" w:rsidRPr="007C335E" w:rsidRDefault="00A87BA4" w:rsidP="00A87BA4">
      <w:pPr>
        <w:pStyle w:val="ListParagraph"/>
        <w:numPr>
          <w:ilvl w:val="0"/>
          <w:numId w:val="31"/>
        </w:numPr>
        <w:spacing w:line="276" w:lineRule="auto"/>
      </w:pPr>
      <w:r w:rsidRPr="007C335E">
        <w:rPr>
          <w:b/>
          <w:bCs/>
        </w:rPr>
        <w:t xml:space="preserve">Students with a household income of </w:t>
      </w:r>
      <w:r>
        <w:rPr>
          <w:b/>
          <w:bCs/>
        </w:rPr>
        <w:t>£27,001</w:t>
      </w:r>
      <w:r w:rsidRPr="007C335E">
        <w:rPr>
          <w:b/>
          <w:bCs/>
        </w:rPr>
        <w:t xml:space="preserve"> (£2</w:t>
      </w:r>
      <w:r>
        <w:rPr>
          <w:b/>
          <w:bCs/>
        </w:rPr>
        <w:t>5</w:t>
      </w:r>
      <w:r w:rsidRPr="007C335E">
        <w:rPr>
          <w:b/>
          <w:bCs/>
        </w:rPr>
        <w:t xml:space="preserve">,001 for </w:t>
      </w:r>
      <w:r>
        <w:rPr>
          <w:b/>
          <w:bCs/>
        </w:rPr>
        <w:t>the</w:t>
      </w:r>
      <w:r w:rsidRPr="007C335E">
        <w:rPr>
          <w:b/>
          <w:bCs/>
        </w:rPr>
        <w:t xml:space="preserve"> </w:t>
      </w:r>
      <w:r>
        <w:rPr>
          <w:b/>
          <w:bCs/>
        </w:rPr>
        <w:t>2018/19</w:t>
      </w:r>
      <w:r w:rsidRPr="007C335E">
        <w:rPr>
          <w:b/>
          <w:bCs/>
        </w:rPr>
        <w:t xml:space="preserve"> cohort) and below</w:t>
      </w:r>
      <w:r w:rsidRPr="007C335E">
        <w:t xml:space="preserve"> – </w:t>
      </w:r>
      <w:r>
        <w:t>t</w:t>
      </w:r>
      <w:r w:rsidRPr="007C335E">
        <w:t>his is the group eligible to receive the Reading student bursary.</w:t>
      </w:r>
    </w:p>
    <w:p w14:paraId="60BE474B" w14:textId="77777777" w:rsidR="00A87BA4" w:rsidRPr="007C335E" w:rsidRDefault="00A87BA4" w:rsidP="00A87BA4">
      <w:pPr>
        <w:pStyle w:val="ListParagraph"/>
        <w:numPr>
          <w:ilvl w:val="0"/>
          <w:numId w:val="31"/>
        </w:numPr>
        <w:spacing w:line="276" w:lineRule="auto"/>
      </w:pPr>
      <w:r w:rsidRPr="007C335E">
        <w:rPr>
          <w:b/>
          <w:bCs/>
        </w:rPr>
        <w:t>Students with a household income between £32,000 and £42,737</w:t>
      </w:r>
      <w:r w:rsidRPr="007C335E">
        <w:t xml:space="preserve"> (the maximum household income to be eligible for a maintenance loan).</w:t>
      </w:r>
    </w:p>
    <w:p w14:paraId="7EC1FF01" w14:textId="77777777" w:rsidR="00A87BA4" w:rsidRPr="007C335E" w:rsidRDefault="00A87BA4" w:rsidP="00A87BA4">
      <w:pPr>
        <w:pStyle w:val="ListParagraph"/>
        <w:numPr>
          <w:ilvl w:val="0"/>
          <w:numId w:val="31"/>
        </w:numPr>
        <w:spacing w:line="276" w:lineRule="auto"/>
      </w:pPr>
      <w:r w:rsidRPr="007C335E">
        <w:rPr>
          <w:b/>
          <w:bCs/>
        </w:rPr>
        <w:t>Students with a household income over £42,737</w:t>
      </w:r>
      <w:r w:rsidRPr="007C335E">
        <w:t xml:space="preserve"> – </w:t>
      </w:r>
      <w:r>
        <w:t>t</w:t>
      </w:r>
      <w:r w:rsidRPr="007C335E">
        <w:t>his is the group with a household income over the threshold for University or maintenance loan support.</w:t>
      </w:r>
    </w:p>
    <w:p w14:paraId="7360C5BE" w14:textId="77777777" w:rsidR="00A87BA4" w:rsidRPr="007C335E" w:rsidRDefault="00A87BA4" w:rsidP="00A87BA4">
      <w:pPr>
        <w:pStyle w:val="ListParagraph"/>
        <w:numPr>
          <w:ilvl w:val="0"/>
          <w:numId w:val="31"/>
        </w:numPr>
        <w:spacing w:line="276" w:lineRule="auto"/>
      </w:pPr>
      <w:r w:rsidRPr="007C335E">
        <w:rPr>
          <w:b/>
          <w:bCs/>
        </w:rPr>
        <w:t xml:space="preserve">Students with an unknown or missing (assumed high) household income </w:t>
      </w:r>
      <w:r w:rsidRPr="007C335E">
        <w:t xml:space="preserve">– </w:t>
      </w:r>
      <w:r>
        <w:t>t</w:t>
      </w:r>
      <w:r w:rsidRPr="007C335E">
        <w:t xml:space="preserve">his is the group for whom the University does not hold household income information, and it is assumed to be high. </w:t>
      </w:r>
    </w:p>
    <w:p w14:paraId="628EF7F1" w14:textId="77777777" w:rsidR="00A87BA4" w:rsidRPr="007C335E" w:rsidRDefault="00A87BA4" w:rsidP="00A87BA4">
      <w:pPr>
        <w:spacing w:line="276" w:lineRule="auto"/>
      </w:pPr>
      <w:r w:rsidRPr="007C335E">
        <w:t>The number of students within each household income group, with the group eligible to receive the Reading student bursary highlighted in red, for each cohort were:</w:t>
      </w:r>
    </w:p>
    <w:p w14:paraId="21CAC460" w14:textId="77777777" w:rsidR="00A87BA4" w:rsidRPr="007C335E" w:rsidRDefault="00A87BA4" w:rsidP="00A87BA4">
      <w:pPr>
        <w:spacing w:line="276" w:lineRule="auto"/>
        <w:rPr>
          <w:b/>
          <w:bCs/>
          <w:lang w:eastAsia="en-US"/>
        </w:rPr>
      </w:pPr>
      <w:r w:rsidRPr="007C335E">
        <w:rPr>
          <w:b/>
          <w:bCs/>
          <w:lang w:eastAsia="en-US"/>
        </w:rPr>
        <w:t xml:space="preserve">Continuation: </w:t>
      </w:r>
    </w:p>
    <w:tbl>
      <w:tblPr>
        <w:tblStyle w:val="UoRTable"/>
        <w:tblW w:w="7832" w:type="dxa"/>
        <w:tblBorders>
          <w:left w:val="single" w:sz="4" w:space="0" w:color="auto"/>
          <w:right w:val="single" w:sz="4" w:space="0" w:color="auto"/>
          <w:insideV w:val="single" w:sz="4" w:space="0" w:color="auto"/>
        </w:tblBorders>
        <w:tblLook w:val="04A0" w:firstRow="1" w:lastRow="0" w:firstColumn="1" w:lastColumn="0" w:noHBand="0" w:noVBand="1"/>
      </w:tblPr>
      <w:tblGrid>
        <w:gridCol w:w="4815"/>
        <w:gridCol w:w="1089"/>
        <w:gridCol w:w="1089"/>
        <w:gridCol w:w="1089"/>
      </w:tblGrid>
      <w:tr w:rsidR="00A87BA4" w:rsidRPr="004E7B13" w14:paraId="73248EE3" w14:textId="77777777" w:rsidTr="00AE53F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7ADC58F5" w14:textId="77777777" w:rsidR="00A87BA4" w:rsidRPr="004E7B13" w:rsidRDefault="00A87BA4" w:rsidP="00372DAE">
            <w:pPr>
              <w:spacing w:before="0" w:line="276" w:lineRule="auto"/>
              <w:rPr>
                <w:rFonts w:cs="Arial"/>
                <w:bCs/>
                <w:color w:val="FFFFFF" w:themeColor="background1"/>
                <w:szCs w:val="24"/>
              </w:rPr>
            </w:pPr>
            <w:r w:rsidRPr="004E7B13">
              <w:rPr>
                <w:rFonts w:cs="Arial"/>
                <w:bCs/>
                <w:color w:val="FFFFFF" w:themeColor="background1"/>
                <w:szCs w:val="24"/>
              </w:rPr>
              <w:t>Household Income Group</w:t>
            </w:r>
          </w:p>
        </w:tc>
        <w:tc>
          <w:tcPr>
            <w:tcW w:w="849"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724DB725" w14:textId="77777777" w:rsidR="00A87BA4" w:rsidRPr="004E7B13" w:rsidRDefault="00A87BA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4"/>
              </w:rPr>
            </w:pPr>
            <w:r w:rsidRPr="004E7B13">
              <w:rPr>
                <w:rFonts w:cs="Arial"/>
                <w:bCs/>
                <w:color w:val="FFFFFF" w:themeColor="background1"/>
                <w:szCs w:val="24"/>
              </w:rPr>
              <w:t>2021/22</w:t>
            </w:r>
          </w:p>
        </w:tc>
        <w:tc>
          <w:tcPr>
            <w:tcW w:w="1084"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2A78084B" w14:textId="77777777" w:rsidR="00A87BA4" w:rsidRPr="004E7B13" w:rsidRDefault="00A87BA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4"/>
              </w:rPr>
            </w:pPr>
            <w:r w:rsidRPr="004E7B13">
              <w:rPr>
                <w:rFonts w:cs="Arial"/>
                <w:bCs/>
                <w:color w:val="FFFFFF" w:themeColor="background1"/>
                <w:szCs w:val="24"/>
              </w:rPr>
              <w:t>2022/23</w:t>
            </w:r>
          </w:p>
        </w:tc>
        <w:tc>
          <w:tcPr>
            <w:tcW w:w="1084"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59E2F6D7" w14:textId="77777777" w:rsidR="00A87BA4" w:rsidRPr="004E7B13" w:rsidRDefault="00A87BA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4"/>
              </w:rPr>
            </w:pPr>
            <w:r w:rsidRPr="004E7B13">
              <w:rPr>
                <w:rFonts w:cs="Arial"/>
                <w:bCs/>
                <w:color w:val="FFFFFF" w:themeColor="background1"/>
                <w:szCs w:val="24"/>
              </w:rPr>
              <w:t>2023/24</w:t>
            </w:r>
          </w:p>
        </w:tc>
      </w:tr>
      <w:tr w:rsidR="00A87BA4" w:rsidRPr="004E7B13" w14:paraId="110F90AF"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5C8A932C" w14:textId="77777777" w:rsidR="00A87BA4" w:rsidRPr="004E7B13" w:rsidRDefault="00A87BA4" w:rsidP="00372DAE">
            <w:pPr>
              <w:spacing w:before="0" w:line="276" w:lineRule="auto"/>
              <w:rPr>
                <w:rFonts w:cs="Arial"/>
                <w:color w:val="000000"/>
                <w:szCs w:val="24"/>
              </w:rPr>
            </w:pPr>
            <w:r w:rsidRPr="004E7B13">
              <w:rPr>
                <w:rFonts w:cs="Arial"/>
                <w:color w:val="000000"/>
                <w:szCs w:val="24"/>
              </w:rPr>
              <w:t>Between £27,001 and £32,000 (inclusive)</w:t>
            </w:r>
          </w:p>
        </w:tc>
        <w:tc>
          <w:tcPr>
            <w:tcW w:w="849" w:type="dxa"/>
            <w:noWrap/>
            <w:hideMark/>
          </w:tcPr>
          <w:p w14:paraId="4B3CF0CD"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86</w:t>
            </w:r>
          </w:p>
        </w:tc>
        <w:tc>
          <w:tcPr>
            <w:tcW w:w="1084" w:type="dxa"/>
            <w:noWrap/>
            <w:hideMark/>
          </w:tcPr>
          <w:p w14:paraId="7BEEBEF0"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111</w:t>
            </w:r>
          </w:p>
        </w:tc>
        <w:tc>
          <w:tcPr>
            <w:tcW w:w="1084" w:type="dxa"/>
            <w:noWrap/>
            <w:hideMark/>
          </w:tcPr>
          <w:p w14:paraId="111FEE8F"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104</w:t>
            </w:r>
          </w:p>
        </w:tc>
      </w:tr>
      <w:tr w:rsidR="00A87BA4" w:rsidRPr="004E7B13" w14:paraId="4121AB56"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1D2E4DE9" w14:textId="77777777" w:rsidR="00A87BA4" w:rsidRPr="004E7B13" w:rsidRDefault="00A87BA4" w:rsidP="00372DAE">
            <w:pPr>
              <w:spacing w:before="0" w:line="276" w:lineRule="auto"/>
              <w:rPr>
                <w:rFonts w:cs="Arial"/>
                <w:color w:val="D2002E" w:themeColor="accent1"/>
                <w:szCs w:val="24"/>
              </w:rPr>
            </w:pPr>
            <w:r w:rsidRPr="004E7B13">
              <w:rPr>
                <w:rFonts w:cs="Arial"/>
                <w:color w:val="D2002E" w:themeColor="accent1"/>
                <w:szCs w:val="24"/>
              </w:rPr>
              <w:t>£27,000 or less</w:t>
            </w:r>
          </w:p>
        </w:tc>
        <w:tc>
          <w:tcPr>
            <w:tcW w:w="849" w:type="dxa"/>
            <w:noWrap/>
            <w:hideMark/>
          </w:tcPr>
          <w:p w14:paraId="146FB04D"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4E7B13">
              <w:rPr>
                <w:rFonts w:cs="Arial"/>
                <w:color w:val="D2002E" w:themeColor="accent1"/>
                <w:szCs w:val="24"/>
              </w:rPr>
              <w:t>773</w:t>
            </w:r>
          </w:p>
        </w:tc>
        <w:tc>
          <w:tcPr>
            <w:tcW w:w="1084" w:type="dxa"/>
            <w:noWrap/>
            <w:hideMark/>
          </w:tcPr>
          <w:p w14:paraId="1BCB267C"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4E7B13">
              <w:rPr>
                <w:rFonts w:cs="Arial"/>
                <w:color w:val="D2002E" w:themeColor="accent1"/>
                <w:szCs w:val="24"/>
              </w:rPr>
              <w:t>796</w:t>
            </w:r>
          </w:p>
        </w:tc>
        <w:tc>
          <w:tcPr>
            <w:tcW w:w="1084" w:type="dxa"/>
            <w:noWrap/>
            <w:hideMark/>
          </w:tcPr>
          <w:p w14:paraId="5B90127A"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4E7B13">
              <w:rPr>
                <w:rFonts w:cs="Arial"/>
                <w:color w:val="D2002E" w:themeColor="accent1"/>
                <w:szCs w:val="24"/>
              </w:rPr>
              <w:t>860</w:t>
            </w:r>
          </w:p>
        </w:tc>
      </w:tr>
      <w:tr w:rsidR="00A87BA4" w:rsidRPr="004E7B13" w14:paraId="346F92FE"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43B6D3FD" w14:textId="77777777" w:rsidR="00A87BA4" w:rsidRPr="004E7B13" w:rsidRDefault="00A87BA4" w:rsidP="00372DAE">
            <w:pPr>
              <w:spacing w:before="0" w:line="276" w:lineRule="auto"/>
              <w:rPr>
                <w:rFonts w:cs="Arial"/>
                <w:color w:val="000000"/>
                <w:szCs w:val="24"/>
              </w:rPr>
            </w:pPr>
            <w:r w:rsidRPr="004E7B13">
              <w:rPr>
                <w:rFonts w:cs="Arial"/>
                <w:color w:val="000000"/>
                <w:szCs w:val="24"/>
              </w:rPr>
              <w:t>£32,001 and £42,737 (inclusive)</w:t>
            </w:r>
          </w:p>
        </w:tc>
        <w:tc>
          <w:tcPr>
            <w:tcW w:w="849" w:type="dxa"/>
            <w:noWrap/>
            <w:hideMark/>
          </w:tcPr>
          <w:p w14:paraId="57EF7144"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185</w:t>
            </w:r>
          </w:p>
        </w:tc>
        <w:tc>
          <w:tcPr>
            <w:tcW w:w="1084" w:type="dxa"/>
            <w:noWrap/>
            <w:hideMark/>
          </w:tcPr>
          <w:p w14:paraId="17D92E2C"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208</w:t>
            </w:r>
          </w:p>
        </w:tc>
        <w:tc>
          <w:tcPr>
            <w:tcW w:w="1084" w:type="dxa"/>
            <w:noWrap/>
            <w:hideMark/>
          </w:tcPr>
          <w:p w14:paraId="01CD1A1E"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243</w:t>
            </w:r>
          </w:p>
        </w:tc>
      </w:tr>
      <w:tr w:rsidR="00A87BA4" w:rsidRPr="004E7B13" w14:paraId="56853956"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766E68E" w14:textId="77777777" w:rsidR="00A87BA4" w:rsidRPr="004E7B13" w:rsidRDefault="00A87BA4" w:rsidP="00372DAE">
            <w:pPr>
              <w:spacing w:before="0" w:line="276" w:lineRule="auto"/>
              <w:rPr>
                <w:rFonts w:cs="Arial"/>
                <w:color w:val="000000"/>
                <w:szCs w:val="24"/>
              </w:rPr>
            </w:pPr>
            <w:r w:rsidRPr="004E7B13">
              <w:rPr>
                <w:rFonts w:cs="Arial"/>
                <w:color w:val="000000"/>
                <w:szCs w:val="24"/>
              </w:rPr>
              <w:t>Greater than £42,737</w:t>
            </w:r>
          </w:p>
        </w:tc>
        <w:tc>
          <w:tcPr>
            <w:tcW w:w="849" w:type="dxa"/>
            <w:noWrap/>
            <w:hideMark/>
          </w:tcPr>
          <w:p w14:paraId="01A79C9F"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714</w:t>
            </w:r>
          </w:p>
        </w:tc>
        <w:tc>
          <w:tcPr>
            <w:tcW w:w="1084" w:type="dxa"/>
            <w:noWrap/>
            <w:hideMark/>
          </w:tcPr>
          <w:p w14:paraId="16303ABC"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782</w:t>
            </w:r>
          </w:p>
        </w:tc>
        <w:tc>
          <w:tcPr>
            <w:tcW w:w="1084" w:type="dxa"/>
            <w:noWrap/>
            <w:hideMark/>
          </w:tcPr>
          <w:p w14:paraId="5349EFE6"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847</w:t>
            </w:r>
          </w:p>
        </w:tc>
      </w:tr>
      <w:tr w:rsidR="00A87BA4" w:rsidRPr="004E7B13" w14:paraId="2DF54A8B"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4FF57441" w14:textId="77777777" w:rsidR="00A87BA4" w:rsidRPr="004E7B13" w:rsidRDefault="00A87BA4" w:rsidP="00372DAE">
            <w:pPr>
              <w:spacing w:before="0" w:line="276" w:lineRule="auto"/>
              <w:rPr>
                <w:rFonts w:cs="Arial"/>
                <w:color w:val="000000"/>
                <w:szCs w:val="24"/>
              </w:rPr>
            </w:pPr>
            <w:r w:rsidRPr="004E7B13">
              <w:rPr>
                <w:rFonts w:cs="Arial"/>
                <w:color w:val="000000"/>
                <w:szCs w:val="24"/>
              </w:rPr>
              <w:t>Unknown (assumed high)</w:t>
            </w:r>
          </w:p>
        </w:tc>
        <w:tc>
          <w:tcPr>
            <w:tcW w:w="849" w:type="dxa"/>
            <w:noWrap/>
            <w:hideMark/>
          </w:tcPr>
          <w:p w14:paraId="1679BD8E"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1316</w:t>
            </w:r>
          </w:p>
        </w:tc>
        <w:tc>
          <w:tcPr>
            <w:tcW w:w="1084" w:type="dxa"/>
            <w:noWrap/>
            <w:hideMark/>
          </w:tcPr>
          <w:p w14:paraId="57699F31"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1473</w:t>
            </w:r>
          </w:p>
        </w:tc>
        <w:tc>
          <w:tcPr>
            <w:tcW w:w="1084" w:type="dxa"/>
            <w:noWrap/>
            <w:hideMark/>
          </w:tcPr>
          <w:p w14:paraId="0A0CF3E5"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1712</w:t>
            </w:r>
          </w:p>
        </w:tc>
      </w:tr>
    </w:tbl>
    <w:p w14:paraId="363992BC" w14:textId="77777777" w:rsidR="00A87BA4" w:rsidRDefault="00A87BA4" w:rsidP="00A87BA4">
      <w:pPr>
        <w:spacing w:line="276" w:lineRule="auto"/>
        <w:rPr>
          <w:b/>
          <w:bCs/>
          <w:lang w:eastAsia="en-US"/>
        </w:rPr>
      </w:pPr>
    </w:p>
    <w:p w14:paraId="59BF00C6" w14:textId="77777777" w:rsidR="00A87BA4" w:rsidRPr="007C335E" w:rsidRDefault="00A87BA4" w:rsidP="00A87BA4">
      <w:pPr>
        <w:spacing w:line="276" w:lineRule="auto"/>
        <w:rPr>
          <w:b/>
          <w:bCs/>
          <w:lang w:eastAsia="en-US"/>
        </w:rPr>
      </w:pPr>
    </w:p>
    <w:p w14:paraId="0F8D9AE7" w14:textId="77777777" w:rsidR="00A87BA4" w:rsidRPr="007C335E" w:rsidRDefault="00A87BA4" w:rsidP="00A87BA4">
      <w:pPr>
        <w:spacing w:line="276" w:lineRule="auto"/>
        <w:rPr>
          <w:b/>
          <w:bCs/>
          <w:lang w:eastAsia="en-US"/>
        </w:rPr>
      </w:pPr>
      <w:r w:rsidRPr="007C335E">
        <w:rPr>
          <w:b/>
          <w:bCs/>
          <w:lang w:eastAsia="en-US"/>
        </w:rPr>
        <w:t xml:space="preserve">Completion/Attainment: </w:t>
      </w:r>
    </w:p>
    <w:tbl>
      <w:tblPr>
        <w:tblStyle w:val="UoRTable"/>
        <w:tblW w:w="7832" w:type="dxa"/>
        <w:tblBorders>
          <w:left w:val="single" w:sz="4" w:space="0" w:color="auto"/>
          <w:right w:val="single" w:sz="4" w:space="0" w:color="auto"/>
          <w:insideV w:val="single" w:sz="4" w:space="0" w:color="auto"/>
        </w:tblBorders>
        <w:tblLook w:val="04A0" w:firstRow="1" w:lastRow="0" w:firstColumn="1" w:lastColumn="0" w:noHBand="0" w:noVBand="1"/>
      </w:tblPr>
      <w:tblGrid>
        <w:gridCol w:w="4815"/>
        <w:gridCol w:w="1089"/>
        <w:gridCol w:w="1089"/>
        <w:gridCol w:w="1089"/>
      </w:tblGrid>
      <w:tr w:rsidR="00A87BA4" w:rsidRPr="004E7B13" w14:paraId="63292BFF" w14:textId="77777777" w:rsidTr="00AE53F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467C43C5" w14:textId="77777777" w:rsidR="00A87BA4" w:rsidRPr="004E7B13" w:rsidRDefault="00A87BA4" w:rsidP="00372DAE">
            <w:pPr>
              <w:spacing w:before="0" w:line="276" w:lineRule="auto"/>
              <w:rPr>
                <w:rFonts w:cs="Arial"/>
                <w:bCs/>
                <w:color w:val="FFFFFF" w:themeColor="background1"/>
                <w:szCs w:val="24"/>
              </w:rPr>
            </w:pPr>
            <w:r w:rsidRPr="004E7B13">
              <w:rPr>
                <w:rFonts w:cs="Arial"/>
                <w:bCs/>
                <w:color w:val="FFFFFF" w:themeColor="background1"/>
                <w:szCs w:val="24"/>
              </w:rPr>
              <w:t>Household Income Group</w:t>
            </w:r>
          </w:p>
        </w:tc>
        <w:tc>
          <w:tcPr>
            <w:tcW w:w="849"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2840AAB8" w14:textId="77777777" w:rsidR="00A87BA4" w:rsidRPr="004E7B13" w:rsidRDefault="00A87BA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4"/>
              </w:rPr>
            </w:pPr>
            <w:r w:rsidRPr="004E7B13">
              <w:rPr>
                <w:rFonts w:cs="Arial"/>
                <w:bCs/>
                <w:color w:val="FFFFFF" w:themeColor="background1"/>
                <w:szCs w:val="24"/>
              </w:rPr>
              <w:t>2018/19</w:t>
            </w:r>
          </w:p>
        </w:tc>
        <w:tc>
          <w:tcPr>
            <w:tcW w:w="1084"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53E219A1" w14:textId="77777777" w:rsidR="00A87BA4" w:rsidRPr="004E7B13" w:rsidRDefault="00A87BA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4"/>
              </w:rPr>
            </w:pPr>
            <w:r w:rsidRPr="004E7B13">
              <w:rPr>
                <w:rFonts w:cs="Arial"/>
                <w:bCs/>
                <w:color w:val="FFFFFF" w:themeColor="background1"/>
                <w:szCs w:val="24"/>
              </w:rPr>
              <w:t>2019/20</w:t>
            </w:r>
          </w:p>
        </w:tc>
        <w:tc>
          <w:tcPr>
            <w:tcW w:w="1084"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23FE0597" w14:textId="77777777" w:rsidR="00A87BA4" w:rsidRPr="004E7B13" w:rsidRDefault="00A87BA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4"/>
              </w:rPr>
            </w:pPr>
            <w:r w:rsidRPr="004E7B13">
              <w:rPr>
                <w:rFonts w:cs="Arial"/>
                <w:bCs/>
                <w:color w:val="FFFFFF" w:themeColor="background1"/>
                <w:szCs w:val="24"/>
              </w:rPr>
              <w:t>2020/21</w:t>
            </w:r>
          </w:p>
        </w:tc>
      </w:tr>
      <w:tr w:rsidR="00A87BA4" w:rsidRPr="004E7B13" w14:paraId="0234133E"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D89D40B" w14:textId="77777777" w:rsidR="00A87BA4" w:rsidRPr="004E7B13" w:rsidRDefault="00A87BA4" w:rsidP="00372DAE">
            <w:pPr>
              <w:spacing w:before="0" w:line="276" w:lineRule="auto"/>
              <w:rPr>
                <w:rFonts w:cs="Arial"/>
                <w:color w:val="000000"/>
                <w:szCs w:val="24"/>
              </w:rPr>
            </w:pPr>
            <w:r w:rsidRPr="004E7B13">
              <w:rPr>
                <w:rFonts w:cs="Arial"/>
                <w:color w:val="000000"/>
                <w:szCs w:val="24"/>
              </w:rPr>
              <w:t>Between £27,001 and £32,000 (inclusive)</w:t>
            </w:r>
          </w:p>
        </w:tc>
        <w:tc>
          <w:tcPr>
            <w:tcW w:w="849" w:type="dxa"/>
            <w:noWrap/>
            <w:hideMark/>
          </w:tcPr>
          <w:p w14:paraId="6B986DE1"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91</w:t>
            </w:r>
          </w:p>
        </w:tc>
        <w:tc>
          <w:tcPr>
            <w:tcW w:w="1084" w:type="dxa"/>
            <w:noWrap/>
            <w:hideMark/>
          </w:tcPr>
          <w:p w14:paraId="51BC404E"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107</w:t>
            </w:r>
          </w:p>
        </w:tc>
        <w:tc>
          <w:tcPr>
            <w:tcW w:w="1084" w:type="dxa"/>
            <w:noWrap/>
            <w:hideMark/>
          </w:tcPr>
          <w:p w14:paraId="3DFBDC02"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96</w:t>
            </w:r>
          </w:p>
        </w:tc>
      </w:tr>
      <w:tr w:rsidR="00A87BA4" w:rsidRPr="004E7B13" w14:paraId="5ECAF7D5"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2D2F530" w14:textId="77777777" w:rsidR="00A87BA4" w:rsidRPr="004E7B13" w:rsidRDefault="00A87BA4" w:rsidP="00372DAE">
            <w:pPr>
              <w:spacing w:before="0" w:line="276" w:lineRule="auto"/>
              <w:rPr>
                <w:rFonts w:cs="Arial"/>
                <w:color w:val="D2002E" w:themeColor="accent1"/>
                <w:szCs w:val="24"/>
              </w:rPr>
            </w:pPr>
            <w:r w:rsidRPr="004E7B13">
              <w:rPr>
                <w:rFonts w:cs="Arial"/>
                <w:color w:val="D2002E" w:themeColor="accent1"/>
                <w:szCs w:val="24"/>
              </w:rPr>
              <w:t>£27,000 or less</w:t>
            </w:r>
          </w:p>
        </w:tc>
        <w:tc>
          <w:tcPr>
            <w:tcW w:w="849" w:type="dxa"/>
            <w:noWrap/>
            <w:hideMark/>
          </w:tcPr>
          <w:p w14:paraId="1214E6BE"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4E7B13">
              <w:rPr>
                <w:rFonts w:cs="Arial"/>
                <w:color w:val="D2002E" w:themeColor="accent1"/>
                <w:szCs w:val="24"/>
              </w:rPr>
              <w:t>699</w:t>
            </w:r>
          </w:p>
        </w:tc>
        <w:tc>
          <w:tcPr>
            <w:tcW w:w="1084" w:type="dxa"/>
            <w:noWrap/>
            <w:hideMark/>
          </w:tcPr>
          <w:p w14:paraId="46E4C943"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4E7B13">
              <w:rPr>
                <w:rFonts w:cs="Arial"/>
                <w:color w:val="D2002E" w:themeColor="accent1"/>
                <w:szCs w:val="24"/>
              </w:rPr>
              <w:t>724</w:t>
            </w:r>
          </w:p>
        </w:tc>
        <w:tc>
          <w:tcPr>
            <w:tcW w:w="1084" w:type="dxa"/>
            <w:noWrap/>
            <w:hideMark/>
          </w:tcPr>
          <w:p w14:paraId="5209D8B2"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4E7B13">
              <w:rPr>
                <w:rFonts w:cs="Arial"/>
                <w:color w:val="D2002E" w:themeColor="accent1"/>
                <w:szCs w:val="24"/>
              </w:rPr>
              <w:t>781</w:t>
            </w:r>
          </w:p>
        </w:tc>
      </w:tr>
      <w:tr w:rsidR="00A87BA4" w:rsidRPr="004E7B13" w14:paraId="43510BE8"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B92980C" w14:textId="77777777" w:rsidR="00A87BA4" w:rsidRPr="004E7B13" w:rsidRDefault="00A87BA4" w:rsidP="00372DAE">
            <w:pPr>
              <w:spacing w:before="0" w:line="276" w:lineRule="auto"/>
              <w:rPr>
                <w:rFonts w:cs="Arial"/>
                <w:color w:val="000000"/>
                <w:szCs w:val="24"/>
              </w:rPr>
            </w:pPr>
            <w:r w:rsidRPr="004E7B13">
              <w:rPr>
                <w:rFonts w:cs="Arial"/>
                <w:color w:val="000000"/>
                <w:szCs w:val="24"/>
              </w:rPr>
              <w:t>£32,001 and £42,737 (inclusive)</w:t>
            </w:r>
          </w:p>
        </w:tc>
        <w:tc>
          <w:tcPr>
            <w:tcW w:w="849" w:type="dxa"/>
            <w:noWrap/>
            <w:hideMark/>
          </w:tcPr>
          <w:p w14:paraId="31DFCCE4"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212</w:t>
            </w:r>
          </w:p>
        </w:tc>
        <w:tc>
          <w:tcPr>
            <w:tcW w:w="1084" w:type="dxa"/>
            <w:noWrap/>
            <w:hideMark/>
          </w:tcPr>
          <w:p w14:paraId="71C41A12"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210</w:t>
            </w:r>
          </w:p>
        </w:tc>
        <w:tc>
          <w:tcPr>
            <w:tcW w:w="1084" w:type="dxa"/>
            <w:noWrap/>
            <w:hideMark/>
          </w:tcPr>
          <w:p w14:paraId="0B291D2D"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203</w:t>
            </w:r>
          </w:p>
        </w:tc>
      </w:tr>
      <w:tr w:rsidR="00A87BA4" w:rsidRPr="004E7B13" w14:paraId="3104B517"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1742A4D7" w14:textId="77777777" w:rsidR="00A87BA4" w:rsidRPr="004E7B13" w:rsidRDefault="00A87BA4" w:rsidP="00372DAE">
            <w:pPr>
              <w:spacing w:before="0" w:line="276" w:lineRule="auto"/>
              <w:rPr>
                <w:rFonts w:cs="Arial"/>
                <w:color w:val="000000"/>
                <w:szCs w:val="24"/>
              </w:rPr>
            </w:pPr>
            <w:r w:rsidRPr="004E7B13">
              <w:rPr>
                <w:rFonts w:cs="Arial"/>
                <w:color w:val="000000"/>
                <w:szCs w:val="24"/>
              </w:rPr>
              <w:t>Greater than £42,737</w:t>
            </w:r>
          </w:p>
        </w:tc>
        <w:tc>
          <w:tcPr>
            <w:tcW w:w="849" w:type="dxa"/>
            <w:noWrap/>
            <w:hideMark/>
          </w:tcPr>
          <w:p w14:paraId="72BA929C"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486</w:t>
            </w:r>
          </w:p>
        </w:tc>
        <w:tc>
          <w:tcPr>
            <w:tcW w:w="1084" w:type="dxa"/>
            <w:noWrap/>
            <w:hideMark/>
          </w:tcPr>
          <w:p w14:paraId="7A9767F3"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518</w:t>
            </w:r>
          </w:p>
        </w:tc>
        <w:tc>
          <w:tcPr>
            <w:tcW w:w="1084" w:type="dxa"/>
            <w:noWrap/>
            <w:hideMark/>
          </w:tcPr>
          <w:p w14:paraId="1D7BCA18"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694</w:t>
            </w:r>
          </w:p>
        </w:tc>
      </w:tr>
      <w:tr w:rsidR="00A87BA4" w:rsidRPr="004E7B13" w14:paraId="4B59FCB0" w14:textId="77777777" w:rsidTr="00AE53F9">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1CA3F9F1" w14:textId="77777777" w:rsidR="00A87BA4" w:rsidRPr="004E7B13" w:rsidRDefault="00A87BA4" w:rsidP="00372DAE">
            <w:pPr>
              <w:spacing w:before="0" w:line="276" w:lineRule="auto"/>
              <w:rPr>
                <w:rFonts w:cs="Arial"/>
                <w:color w:val="000000"/>
                <w:szCs w:val="24"/>
              </w:rPr>
            </w:pPr>
            <w:r w:rsidRPr="004E7B13">
              <w:rPr>
                <w:rFonts w:cs="Arial"/>
                <w:color w:val="000000"/>
                <w:szCs w:val="24"/>
              </w:rPr>
              <w:t>Unknown (assumed high)</w:t>
            </w:r>
          </w:p>
        </w:tc>
        <w:tc>
          <w:tcPr>
            <w:tcW w:w="849" w:type="dxa"/>
            <w:noWrap/>
            <w:hideMark/>
          </w:tcPr>
          <w:p w14:paraId="59B84A12"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1441</w:t>
            </w:r>
          </w:p>
        </w:tc>
        <w:tc>
          <w:tcPr>
            <w:tcW w:w="1084" w:type="dxa"/>
            <w:noWrap/>
            <w:hideMark/>
          </w:tcPr>
          <w:p w14:paraId="0DFE853C"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1232</w:t>
            </w:r>
          </w:p>
        </w:tc>
        <w:tc>
          <w:tcPr>
            <w:tcW w:w="1084" w:type="dxa"/>
            <w:noWrap/>
            <w:hideMark/>
          </w:tcPr>
          <w:p w14:paraId="784A0976" w14:textId="77777777" w:rsidR="00A87BA4" w:rsidRPr="004E7B13" w:rsidRDefault="00A87BA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4E7B13">
              <w:rPr>
                <w:rFonts w:cs="Arial"/>
                <w:color w:val="000000"/>
                <w:szCs w:val="24"/>
              </w:rPr>
              <w:t>1142</w:t>
            </w:r>
          </w:p>
        </w:tc>
      </w:tr>
    </w:tbl>
    <w:p w14:paraId="563FB97D" w14:textId="77777777" w:rsidR="00A87BA4" w:rsidRPr="004E7B13" w:rsidRDefault="00A87BA4" w:rsidP="00A87BA4">
      <w:pPr>
        <w:spacing w:line="276" w:lineRule="auto"/>
        <w:rPr>
          <w:b/>
          <w:bCs/>
          <w:lang w:eastAsia="en-US"/>
        </w:rPr>
      </w:pPr>
    </w:p>
    <w:p w14:paraId="65BBCA2C" w14:textId="77777777" w:rsidR="00A87BA4" w:rsidRPr="007C335E" w:rsidRDefault="00A87BA4" w:rsidP="00A87BA4">
      <w:pPr>
        <w:spacing w:line="276" w:lineRule="auto"/>
      </w:pPr>
      <w:r w:rsidRPr="007C335E">
        <w:t xml:space="preserve">The regression analysis compares the outcomes of students in household income groups 2 through to 5 against group 1 to </w:t>
      </w:r>
      <w:r>
        <w:t>attempt to draw conclusions as to whether s</w:t>
      </w:r>
      <w:r w:rsidRPr="007C335E">
        <w:t>tudents in these groups are more or less likely to achieve the outcome of interest, and the odds of this happening.</w:t>
      </w:r>
    </w:p>
    <w:p w14:paraId="7047EB0C" w14:textId="77777777" w:rsidR="00A87BA4" w:rsidRPr="007C335E" w:rsidRDefault="00A87BA4" w:rsidP="00A87BA4">
      <w:pPr>
        <w:spacing w:line="276" w:lineRule="auto"/>
      </w:pPr>
      <w:r w:rsidRPr="007C335E">
        <w:t>Alongside the household income data, a range of independent control variables were included in the analysis. These control variables were:</w:t>
      </w:r>
    </w:p>
    <w:p w14:paraId="12112F3C" w14:textId="77777777" w:rsidR="00A87BA4" w:rsidRPr="007B2057" w:rsidRDefault="00A87BA4" w:rsidP="00A87BA4">
      <w:pPr>
        <w:pStyle w:val="ListParagraph"/>
        <w:numPr>
          <w:ilvl w:val="0"/>
          <w:numId w:val="32"/>
        </w:numPr>
        <w:spacing w:line="276" w:lineRule="auto"/>
      </w:pPr>
      <w:r w:rsidRPr="007B2057">
        <w:t>Academic Year</w:t>
      </w:r>
    </w:p>
    <w:p w14:paraId="384DDEA6" w14:textId="77777777" w:rsidR="00A87BA4" w:rsidRPr="007B2057" w:rsidRDefault="00A87BA4" w:rsidP="00A87BA4">
      <w:pPr>
        <w:pStyle w:val="ListParagraph"/>
        <w:numPr>
          <w:ilvl w:val="0"/>
          <w:numId w:val="32"/>
        </w:numPr>
        <w:spacing w:line="276" w:lineRule="auto"/>
      </w:pPr>
      <w:r w:rsidRPr="007B2057">
        <w:t>Gender</w:t>
      </w:r>
    </w:p>
    <w:p w14:paraId="1E635595" w14:textId="77777777" w:rsidR="00A87BA4" w:rsidRPr="007B2057" w:rsidRDefault="00A87BA4" w:rsidP="00A87BA4">
      <w:pPr>
        <w:pStyle w:val="ListParagraph"/>
        <w:numPr>
          <w:ilvl w:val="0"/>
          <w:numId w:val="32"/>
        </w:numPr>
        <w:spacing w:line="276" w:lineRule="auto"/>
      </w:pPr>
      <w:r w:rsidRPr="007B2057">
        <w:t>Nationality</w:t>
      </w:r>
    </w:p>
    <w:p w14:paraId="63D6EF59" w14:textId="77777777" w:rsidR="00A87BA4" w:rsidRPr="007B2057" w:rsidRDefault="00A87BA4" w:rsidP="00A87BA4">
      <w:pPr>
        <w:pStyle w:val="ListParagraph"/>
        <w:numPr>
          <w:ilvl w:val="0"/>
          <w:numId w:val="32"/>
        </w:numPr>
        <w:spacing w:line="276" w:lineRule="auto"/>
      </w:pPr>
      <w:r w:rsidRPr="007B2057">
        <w:t>Age on entry</w:t>
      </w:r>
    </w:p>
    <w:p w14:paraId="47A90857" w14:textId="77777777" w:rsidR="00A87BA4" w:rsidRPr="007B2057" w:rsidRDefault="00A87BA4" w:rsidP="00A87BA4">
      <w:pPr>
        <w:pStyle w:val="ListParagraph"/>
        <w:numPr>
          <w:ilvl w:val="0"/>
          <w:numId w:val="32"/>
        </w:numPr>
        <w:spacing w:line="276" w:lineRule="auto"/>
      </w:pPr>
      <w:r w:rsidRPr="007B2057">
        <w:t>Ethnicity</w:t>
      </w:r>
    </w:p>
    <w:p w14:paraId="3AB1D7BC" w14:textId="77777777" w:rsidR="00A87BA4" w:rsidRPr="007B2057" w:rsidRDefault="00A87BA4" w:rsidP="00A87BA4">
      <w:pPr>
        <w:pStyle w:val="ListParagraph"/>
        <w:numPr>
          <w:ilvl w:val="0"/>
          <w:numId w:val="32"/>
        </w:numPr>
        <w:spacing w:line="276" w:lineRule="auto"/>
      </w:pPr>
      <w:r w:rsidRPr="007B2057">
        <w:t xml:space="preserve">Declared disability and Disabled Students Allowance (DSA) </w:t>
      </w:r>
    </w:p>
    <w:p w14:paraId="53AE10E0" w14:textId="77777777" w:rsidR="00A87BA4" w:rsidRPr="007B2057" w:rsidRDefault="00A87BA4" w:rsidP="00A87BA4">
      <w:pPr>
        <w:pStyle w:val="ListParagraph"/>
        <w:numPr>
          <w:ilvl w:val="0"/>
          <w:numId w:val="32"/>
        </w:numPr>
        <w:spacing w:line="276" w:lineRule="auto"/>
      </w:pPr>
      <w:r w:rsidRPr="007B2057">
        <w:t>Main subject of degree (CAH or JACS depending on Academic Year)</w:t>
      </w:r>
    </w:p>
    <w:p w14:paraId="57CA4973" w14:textId="77777777" w:rsidR="00A87BA4" w:rsidRPr="007B2057" w:rsidRDefault="00A87BA4" w:rsidP="00A87BA4">
      <w:pPr>
        <w:pStyle w:val="ListParagraph"/>
        <w:numPr>
          <w:ilvl w:val="0"/>
          <w:numId w:val="32"/>
        </w:numPr>
        <w:spacing w:line="276" w:lineRule="auto"/>
      </w:pPr>
      <w:r w:rsidRPr="007B2057">
        <w:t>Tariff score</w:t>
      </w:r>
    </w:p>
    <w:p w14:paraId="0670A616" w14:textId="77777777" w:rsidR="00A87BA4" w:rsidRPr="007B2057" w:rsidRDefault="00A87BA4" w:rsidP="00A87BA4">
      <w:pPr>
        <w:pStyle w:val="ListParagraph"/>
        <w:numPr>
          <w:ilvl w:val="0"/>
          <w:numId w:val="32"/>
        </w:numPr>
        <w:spacing w:line="276" w:lineRule="auto"/>
      </w:pPr>
      <w:r w:rsidRPr="007B2057">
        <w:t>POLAR4 Quintile</w:t>
      </w:r>
    </w:p>
    <w:p w14:paraId="2AA03D49" w14:textId="77777777" w:rsidR="00A87BA4" w:rsidRPr="007B2057" w:rsidRDefault="00A87BA4" w:rsidP="00A87BA4">
      <w:pPr>
        <w:pStyle w:val="ListParagraph"/>
        <w:numPr>
          <w:ilvl w:val="0"/>
          <w:numId w:val="32"/>
        </w:numPr>
        <w:spacing w:line="276" w:lineRule="auto"/>
      </w:pPr>
      <w:r w:rsidRPr="007B2057">
        <w:t>IMD2019 Quintile</w:t>
      </w:r>
    </w:p>
    <w:p w14:paraId="605BE233" w14:textId="77777777" w:rsidR="00A87BA4" w:rsidRPr="007B2057" w:rsidRDefault="00A87BA4" w:rsidP="00A87BA4">
      <w:pPr>
        <w:pStyle w:val="ListParagraph"/>
        <w:numPr>
          <w:ilvl w:val="0"/>
          <w:numId w:val="32"/>
        </w:numPr>
        <w:spacing w:line="276" w:lineRule="auto"/>
      </w:pPr>
      <w:r w:rsidRPr="007B2057">
        <w:t xml:space="preserve">Term-time accommodation type </w:t>
      </w:r>
    </w:p>
    <w:p w14:paraId="40019FB6" w14:textId="77777777" w:rsidR="00A87BA4" w:rsidRPr="007B2057" w:rsidRDefault="00A87BA4" w:rsidP="00A87BA4">
      <w:pPr>
        <w:pStyle w:val="ListParagraph"/>
        <w:numPr>
          <w:ilvl w:val="0"/>
          <w:numId w:val="32"/>
        </w:numPr>
        <w:spacing w:line="276" w:lineRule="auto"/>
      </w:pPr>
      <w:r w:rsidRPr="007B2057">
        <w:t>NSS overall satisfaction score</w:t>
      </w:r>
    </w:p>
    <w:p w14:paraId="1958D326" w14:textId="77777777" w:rsidR="00A87BA4" w:rsidRPr="007B2057" w:rsidRDefault="00A87BA4" w:rsidP="00A87BA4">
      <w:pPr>
        <w:pStyle w:val="ListParagraph"/>
        <w:numPr>
          <w:ilvl w:val="0"/>
          <w:numId w:val="32"/>
        </w:numPr>
        <w:spacing w:line="276" w:lineRule="auto"/>
      </w:pPr>
      <w:r w:rsidRPr="007B2057">
        <w:t>Entered through Clearing</w:t>
      </w:r>
    </w:p>
    <w:p w14:paraId="7FA91DF6" w14:textId="77777777" w:rsidR="00A87BA4" w:rsidRDefault="00A87BA4" w:rsidP="00A87BA4">
      <w:pPr>
        <w:spacing w:line="276" w:lineRule="auto"/>
      </w:pPr>
      <w:r w:rsidRPr="007B2057">
        <w:t>Whilst Tariff score and NSS overall satisfaction score were treated as scale numeric variables (in other words every value is analysed rather than being categorised into groups) the other variables were all categorical. The full list of values for each categorical control variable</w:t>
      </w:r>
      <w:r>
        <w:t>, apart from academic year,</w:t>
      </w:r>
      <w:r w:rsidRPr="007B2057">
        <w:t xml:space="preserve"> is included in </w:t>
      </w:r>
      <w:hyperlink w:anchor="_Appendix_A" w:history="1">
        <w:r w:rsidRPr="007B2057">
          <w:rPr>
            <w:rStyle w:val="Hyperlink"/>
          </w:rPr>
          <w:t>Appendix A</w:t>
        </w:r>
      </w:hyperlink>
      <w:r w:rsidRPr="007B2057">
        <w:t>.</w:t>
      </w:r>
      <w:r>
        <w:t xml:space="preserve"> </w:t>
      </w:r>
    </w:p>
    <w:p w14:paraId="15EF594F" w14:textId="77777777" w:rsidR="00A87BA4" w:rsidRPr="007C335E" w:rsidRDefault="00A87BA4" w:rsidP="00A87BA4">
      <w:pPr>
        <w:spacing w:line="276" w:lineRule="auto"/>
      </w:pPr>
      <w:r w:rsidRPr="007C335E">
        <w:t>The NSS overall satisfaction scores for the students were mapped in from the results data made available to the University following each survey edition. Results were mapped in as follows:</w:t>
      </w:r>
    </w:p>
    <w:p w14:paraId="1A41F7C1" w14:textId="77777777" w:rsidR="00A87BA4" w:rsidRPr="007C335E" w:rsidRDefault="00A87BA4" w:rsidP="00A87BA4">
      <w:pPr>
        <w:pStyle w:val="ListParagraph"/>
        <w:numPr>
          <w:ilvl w:val="0"/>
          <w:numId w:val="33"/>
        </w:numPr>
        <w:spacing w:line="276" w:lineRule="auto"/>
      </w:pPr>
      <w:r w:rsidRPr="007C335E">
        <w:t>For the continuation cohorts, results from the survey edition in their year of entry were used (e.g. 2023/24 uses the 2024 NSS).</w:t>
      </w:r>
    </w:p>
    <w:p w14:paraId="6FCA6899" w14:textId="77777777" w:rsidR="00A87BA4" w:rsidRPr="007C335E" w:rsidRDefault="00A87BA4" w:rsidP="00A87BA4">
      <w:pPr>
        <w:pStyle w:val="ListParagraph"/>
        <w:numPr>
          <w:ilvl w:val="0"/>
          <w:numId w:val="33"/>
        </w:numPr>
        <w:spacing w:line="276" w:lineRule="auto"/>
      </w:pPr>
      <w:r w:rsidRPr="007C335E">
        <w:t>For the degree completion and attainment cohorts, results from the third year of study (i.e. the expected end date for a three-year course) were used (e.g. 2020/21 uses the 2023 NSS).</w:t>
      </w:r>
    </w:p>
    <w:p w14:paraId="431BAC58" w14:textId="77777777" w:rsidR="00A87BA4" w:rsidRPr="007C335E" w:rsidRDefault="00A87BA4" w:rsidP="00A87BA4">
      <w:pPr>
        <w:spacing w:line="276" w:lineRule="auto"/>
      </w:pPr>
      <w:r w:rsidRPr="007C335E">
        <w:t>As no individual student results are made available, aggregated course data was mapped in for each student. Where no course-level result was available Department/School-level results were used.</w:t>
      </w:r>
    </w:p>
    <w:p w14:paraId="17AF8210" w14:textId="77777777" w:rsidR="00A87BA4" w:rsidRPr="007C335E" w:rsidRDefault="00A87BA4" w:rsidP="00A87BA4">
      <w:pPr>
        <w:spacing w:line="276" w:lineRule="auto"/>
      </w:pPr>
      <w:r w:rsidRPr="007C335E">
        <w:t>Whilst the primary focus of the analysis was on the impact of the University’s financial support offering on the above variables, significant differences within the control variable categories were also noted.</w:t>
      </w:r>
    </w:p>
    <w:p w14:paraId="431D6E56" w14:textId="77777777" w:rsidR="00A87BA4" w:rsidRPr="00A87BA4" w:rsidRDefault="00A87BA4" w:rsidP="00F70337">
      <w:pPr>
        <w:pStyle w:val="Heading2"/>
      </w:pPr>
      <w:bookmarkStart w:id="16" w:name="_Toc225952931"/>
      <w:r w:rsidRPr="00A87BA4">
        <w:t>Analysis</w:t>
      </w:r>
      <w:bookmarkEnd w:id="16"/>
    </w:p>
    <w:tbl>
      <w:tblPr>
        <w:tblStyle w:val="TableGrid"/>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5748"/>
      </w:tblGrid>
      <w:tr w:rsidR="004811DD" w:rsidRPr="009A5AC8" w14:paraId="3CBC16DD" w14:textId="77777777" w:rsidTr="004811DD">
        <w:trPr>
          <w:trHeight w:val="482"/>
        </w:trPr>
        <w:tc>
          <w:tcPr>
            <w:tcW w:w="3568" w:type="dxa"/>
            <w:hideMark/>
          </w:tcPr>
          <w:p w14:paraId="089E7AFB" w14:textId="77777777" w:rsidR="004811DD" w:rsidRPr="00EE2F56" w:rsidRDefault="004811DD" w:rsidP="00372DAE">
            <w:pPr>
              <w:spacing w:before="0" w:line="240" w:lineRule="auto"/>
              <w:textAlignment w:val="baseline"/>
              <w:rPr>
                <w:rFonts w:cs="Arial"/>
                <w:b/>
                <w:bCs/>
                <w:szCs w:val="24"/>
              </w:rPr>
            </w:pPr>
            <w:r w:rsidRPr="00EE2F56">
              <w:rPr>
                <w:rFonts w:cs="Arial"/>
                <w:b/>
                <w:bCs/>
                <w:szCs w:val="24"/>
              </w:rPr>
              <w:lastRenderedPageBreak/>
              <w:t>Data collected</w:t>
            </w:r>
          </w:p>
        </w:tc>
        <w:tc>
          <w:tcPr>
            <w:tcW w:w="5748" w:type="dxa"/>
            <w:hideMark/>
          </w:tcPr>
          <w:p w14:paraId="42E094DF" w14:textId="77777777" w:rsidR="004811DD" w:rsidRPr="00EE2F56" w:rsidRDefault="004811DD" w:rsidP="00372DAE">
            <w:pPr>
              <w:spacing w:before="0" w:line="240" w:lineRule="auto"/>
              <w:textAlignment w:val="baseline"/>
              <w:rPr>
                <w:rFonts w:cs="Arial"/>
                <w:b/>
                <w:bCs/>
                <w:szCs w:val="24"/>
              </w:rPr>
            </w:pPr>
            <w:r w:rsidRPr="00EE2F56">
              <w:rPr>
                <w:rFonts w:cs="Arial"/>
                <w:b/>
                <w:bCs/>
                <w:szCs w:val="24"/>
              </w:rPr>
              <w:t xml:space="preserve">What analysis </w:t>
            </w:r>
            <w:r>
              <w:rPr>
                <w:rFonts w:cs="Arial"/>
                <w:b/>
                <w:bCs/>
                <w:szCs w:val="24"/>
              </w:rPr>
              <w:t>was</w:t>
            </w:r>
            <w:r w:rsidRPr="00EE2F56">
              <w:rPr>
                <w:rFonts w:cs="Arial"/>
                <w:b/>
                <w:bCs/>
                <w:szCs w:val="24"/>
              </w:rPr>
              <w:t xml:space="preserve"> done on this data? </w:t>
            </w:r>
          </w:p>
        </w:tc>
      </w:tr>
      <w:tr w:rsidR="004811DD" w:rsidRPr="009A5AC8" w14:paraId="59304DC6" w14:textId="77777777" w:rsidTr="004811DD">
        <w:trPr>
          <w:trHeight w:val="482"/>
        </w:trPr>
        <w:tc>
          <w:tcPr>
            <w:tcW w:w="3568" w:type="dxa"/>
            <w:hideMark/>
          </w:tcPr>
          <w:p w14:paraId="16C5ECB0" w14:textId="77777777" w:rsidR="004811DD" w:rsidRPr="00644734" w:rsidRDefault="004811DD" w:rsidP="00372DAE">
            <w:pPr>
              <w:spacing w:before="0" w:line="240" w:lineRule="auto"/>
              <w:textAlignment w:val="baseline"/>
              <w:rPr>
                <w:rFonts w:cs="Arial"/>
                <w:szCs w:val="24"/>
              </w:rPr>
            </w:pPr>
            <w:r w:rsidRPr="00644734">
              <w:rPr>
                <w:rFonts w:cs="Arial"/>
                <w:szCs w:val="24"/>
              </w:rPr>
              <w:t>Students receiving bursaries </w:t>
            </w:r>
          </w:p>
        </w:tc>
        <w:tc>
          <w:tcPr>
            <w:tcW w:w="5748" w:type="dxa"/>
            <w:hideMark/>
          </w:tcPr>
          <w:p w14:paraId="4215CB98" w14:textId="77777777" w:rsidR="004811DD" w:rsidRPr="009A5AC8" w:rsidRDefault="004811DD" w:rsidP="00372DAE">
            <w:pPr>
              <w:spacing w:before="0" w:line="240" w:lineRule="auto"/>
              <w:textAlignment w:val="baseline"/>
              <w:rPr>
                <w:rFonts w:cs="Arial"/>
                <w:szCs w:val="24"/>
              </w:rPr>
            </w:pPr>
            <w:r w:rsidRPr="009A5AC8">
              <w:rPr>
                <w:rFonts w:cs="Arial"/>
                <w:szCs w:val="24"/>
              </w:rPr>
              <w:t>Descriptive data. </w:t>
            </w:r>
          </w:p>
        </w:tc>
      </w:tr>
      <w:tr w:rsidR="004811DD" w:rsidRPr="009A5AC8" w14:paraId="1ACB626C" w14:textId="77777777" w:rsidTr="004811DD">
        <w:trPr>
          <w:trHeight w:val="482"/>
        </w:trPr>
        <w:tc>
          <w:tcPr>
            <w:tcW w:w="3568" w:type="dxa"/>
            <w:hideMark/>
          </w:tcPr>
          <w:p w14:paraId="2D2490AE" w14:textId="77777777" w:rsidR="004811DD" w:rsidRPr="00644734" w:rsidRDefault="004811DD" w:rsidP="00372DAE">
            <w:pPr>
              <w:spacing w:before="0" w:line="240" w:lineRule="auto"/>
              <w:textAlignment w:val="baseline"/>
              <w:rPr>
                <w:rFonts w:cs="Arial"/>
                <w:szCs w:val="24"/>
              </w:rPr>
            </w:pPr>
            <w:r w:rsidRPr="00644734">
              <w:rPr>
                <w:rFonts w:cs="Arial"/>
                <w:szCs w:val="24"/>
              </w:rPr>
              <w:t>Decrease in financial concerns </w:t>
            </w:r>
          </w:p>
        </w:tc>
        <w:tc>
          <w:tcPr>
            <w:tcW w:w="5748" w:type="dxa"/>
            <w:hideMark/>
          </w:tcPr>
          <w:p w14:paraId="6ECF1E54" w14:textId="77777777" w:rsidR="004811DD" w:rsidRPr="009A5AC8" w:rsidRDefault="004811DD" w:rsidP="00372DAE">
            <w:pPr>
              <w:spacing w:before="0" w:line="240" w:lineRule="auto"/>
              <w:textAlignment w:val="baseline"/>
              <w:rPr>
                <w:rFonts w:cs="Arial"/>
                <w:szCs w:val="24"/>
              </w:rPr>
            </w:pPr>
            <w:r w:rsidRPr="009A5AC8">
              <w:rPr>
                <w:rFonts w:cs="Arial"/>
                <w:szCs w:val="24"/>
              </w:rPr>
              <w:t>Descriptive analysis + some qualitative analysis of open responses, if appropriate. </w:t>
            </w:r>
          </w:p>
        </w:tc>
      </w:tr>
      <w:tr w:rsidR="004811DD" w:rsidRPr="009A5AC8" w14:paraId="3B9C7406" w14:textId="77777777" w:rsidTr="004811DD">
        <w:trPr>
          <w:trHeight w:val="482"/>
        </w:trPr>
        <w:tc>
          <w:tcPr>
            <w:tcW w:w="3568" w:type="dxa"/>
            <w:hideMark/>
          </w:tcPr>
          <w:p w14:paraId="078B7DEA" w14:textId="77777777" w:rsidR="004811DD" w:rsidRPr="00644734" w:rsidRDefault="004811DD" w:rsidP="00372DAE">
            <w:pPr>
              <w:spacing w:before="0" w:line="240" w:lineRule="auto"/>
              <w:textAlignment w:val="baseline"/>
              <w:rPr>
                <w:rFonts w:cs="Arial"/>
                <w:szCs w:val="24"/>
              </w:rPr>
            </w:pPr>
            <w:r w:rsidRPr="00644734">
              <w:rPr>
                <w:rFonts w:cs="Arial"/>
                <w:szCs w:val="24"/>
              </w:rPr>
              <w:t>Reduced part-time work </w:t>
            </w:r>
          </w:p>
        </w:tc>
        <w:tc>
          <w:tcPr>
            <w:tcW w:w="5748" w:type="dxa"/>
            <w:hideMark/>
          </w:tcPr>
          <w:p w14:paraId="0D6A21B9" w14:textId="77777777" w:rsidR="004811DD" w:rsidRPr="009A5AC8" w:rsidRDefault="004811DD" w:rsidP="00372DAE">
            <w:pPr>
              <w:spacing w:before="0" w:line="240" w:lineRule="auto"/>
              <w:textAlignment w:val="baseline"/>
              <w:rPr>
                <w:rFonts w:cs="Arial"/>
                <w:szCs w:val="24"/>
              </w:rPr>
            </w:pPr>
            <w:r w:rsidRPr="009A5AC8">
              <w:rPr>
                <w:rFonts w:cs="Arial"/>
                <w:szCs w:val="24"/>
              </w:rPr>
              <w:t>Simple comparison year-on-year </w:t>
            </w:r>
          </w:p>
        </w:tc>
      </w:tr>
      <w:tr w:rsidR="004811DD" w:rsidRPr="009A5AC8" w14:paraId="241ECAFF" w14:textId="77777777" w:rsidTr="004811DD">
        <w:trPr>
          <w:trHeight w:val="482"/>
        </w:trPr>
        <w:tc>
          <w:tcPr>
            <w:tcW w:w="3568" w:type="dxa"/>
            <w:hideMark/>
          </w:tcPr>
          <w:p w14:paraId="7C1BDE65" w14:textId="0F27E0C2" w:rsidR="004811DD" w:rsidRPr="00644734" w:rsidRDefault="004811DD" w:rsidP="00372DAE">
            <w:pPr>
              <w:spacing w:before="0" w:line="240" w:lineRule="auto"/>
              <w:textAlignment w:val="baseline"/>
              <w:rPr>
                <w:rFonts w:cs="Arial"/>
                <w:szCs w:val="24"/>
              </w:rPr>
            </w:pPr>
            <w:r>
              <w:rPr>
                <w:rFonts w:cs="Arial"/>
                <w:szCs w:val="24"/>
              </w:rPr>
              <w:t>Continuation, completion and d</w:t>
            </w:r>
            <w:r w:rsidRPr="00644734">
              <w:rPr>
                <w:rFonts w:cs="Arial"/>
                <w:szCs w:val="24"/>
              </w:rPr>
              <w:t>egree outcomes </w:t>
            </w:r>
          </w:p>
        </w:tc>
        <w:tc>
          <w:tcPr>
            <w:tcW w:w="5748" w:type="dxa"/>
            <w:hideMark/>
          </w:tcPr>
          <w:p w14:paraId="542FCF30" w14:textId="55D3F85F" w:rsidR="004811DD" w:rsidRPr="009A5AC8" w:rsidRDefault="004811DD" w:rsidP="00372DAE">
            <w:pPr>
              <w:spacing w:before="0" w:line="240" w:lineRule="auto"/>
              <w:textAlignment w:val="baseline"/>
              <w:rPr>
                <w:rFonts w:cs="Arial"/>
                <w:szCs w:val="24"/>
              </w:rPr>
            </w:pPr>
            <w:proofErr w:type="spellStart"/>
            <w:r w:rsidRPr="009A5AC8">
              <w:rPr>
                <w:rFonts w:cs="Arial"/>
                <w:szCs w:val="24"/>
              </w:rPr>
              <w:t>OfS</w:t>
            </w:r>
            <w:proofErr w:type="spellEnd"/>
            <w:r w:rsidRPr="009A5AC8">
              <w:rPr>
                <w:rFonts w:cs="Arial"/>
                <w:szCs w:val="24"/>
              </w:rPr>
              <w:t xml:space="preserve"> Financial Toolkit for degree outcomes for statistical analysis</w:t>
            </w:r>
            <w:r w:rsidR="001000D4">
              <w:rPr>
                <w:rFonts w:cs="Arial"/>
                <w:szCs w:val="24"/>
              </w:rPr>
              <w:t xml:space="preserve"> (replicated)</w:t>
            </w:r>
            <w:r w:rsidRPr="009A5AC8">
              <w:rPr>
                <w:rFonts w:cs="Arial"/>
                <w:szCs w:val="24"/>
              </w:rPr>
              <w:t>. Binary logistic regressions. Currently compares groups – if no sig</w:t>
            </w:r>
            <w:r>
              <w:rPr>
                <w:rFonts w:cs="Arial"/>
                <w:szCs w:val="24"/>
              </w:rPr>
              <w:t>nificant</w:t>
            </w:r>
            <w:r w:rsidRPr="009A5AC8">
              <w:rPr>
                <w:rFonts w:cs="Arial"/>
                <w:szCs w:val="24"/>
              </w:rPr>
              <w:t xml:space="preserve"> difference between HHI groups = indicates bursary is working. </w:t>
            </w:r>
          </w:p>
          <w:p w14:paraId="492C4013" w14:textId="77777777" w:rsidR="004811DD" w:rsidRPr="009A5AC8" w:rsidRDefault="004811DD" w:rsidP="00372DAE">
            <w:pPr>
              <w:spacing w:before="0" w:line="240" w:lineRule="auto"/>
              <w:textAlignment w:val="baseline"/>
              <w:rPr>
                <w:rFonts w:cs="Arial"/>
                <w:szCs w:val="24"/>
              </w:rPr>
            </w:pPr>
            <w:r w:rsidRPr="009A5AC8">
              <w:rPr>
                <w:rFonts w:cs="Arial"/>
                <w:szCs w:val="24"/>
              </w:rPr>
              <w:t>Comparison of outcomes for bursary students compared to students who would have received it previously. Will be available after 24/25 academic year. If no sig</w:t>
            </w:r>
            <w:r>
              <w:rPr>
                <w:rFonts w:cs="Arial"/>
                <w:szCs w:val="24"/>
              </w:rPr>
              <w:t>nificant</w:t>
            </w:r>
            <w:r w:rsidRPr="009A5AC8">
              <w:rPr>
                <w:rFonts w:cs="Arial"/>
                <w:szCs w:val="24"/>
              </w:rPr>
              <w:t xml:space="preserve"> diff</w:t>
            </w:r>
            <w:r>
              <w:rPr>
                <w:rFonts w:cs="Arial"/>
                <w:szCs w:val="24"/>
              </w:rPr>
              <w:t>erence</w:t>
            </w:r>
            <w:r w:rsidRPr="009A5AC8">
              <w:rPr>
                <w:rFonts w:cs="Arial"/>
                <w:szCs w:val="24"/>
              </w:rPr>
              <w:t>, the bursary changes are not negatively affecting any group. </w:t>
            </w:r>
          </w:p>
          <w:p w14:paraId="41A2F85C" w14:textId="77777777" w:rsidR="004811DD" w:rsidRPr="009A5AC8" w:rsidRDefault="004811DD" w:rsidP="00372DAE">
            <w:pPr>
              <w:spacing w:before="0" w:line="240" w:lineRule="auto"/>
              <w:textAlignment w:val="baseline"/>
              <w:rPr>
                <w:rFonts w:cs="Arial"/>
                <w:szCs w:val="24"/>
              </w:rPr>
            </w:pPr>
            <w:r w:rsidRPr="009A5AC8">
              <w:rPr>
                <w:rFonts w:cs="Arial"/>
                <w:szCs w:val="24"/>
              </w:rPr>
              <w:t> </w:t>
            </w:r>
          </w:p>
        </w:tc>
      </w:tr>
    </w:tbl>
    <w:p w14:paraId="799FF59D" w14:textId="37E69823" w:rsidR="004811DD" w:rsidRPr="001D38E7" w:rsidRDefault="004811DD" w:rsidP="00A87BA4">
      <w:pPr>
        <w:spacing w:line="276" w:lineRule="auto"/>
        <w:rPr>
          <w:b/>
          <w:bCs/>
          <w:lang w:eastAsia="en-US"/>
        </w:rPr>
      </w:pPr>
      <w:r w:rsidRPr="001D38E7">
        <w:rPr>
          <w:b/>
          <w:bCs/>
          <w:lang w:eastAsia="en-US"/>
        </w:rPr>
        <w:t>Further detail on statistical analysis:</w:t>
      </w:r>
    </w:p>
    <w:p w14:paraId="5B1EC0DE" w14:textId="198760F9" w:rsidR="00A87BA4" w:rsidRPr="00E254CE" w:rsidRDefault="00A87BA4" w:rsidP="00A87BA4">
      <w:pPr>
        <w:spacing w:line="276" w:lineRule="auto"/>
        <w:rPr>
          <w:lang w:eastAsia="en-US"/>
        </w:rPr>
      </w:pPr>
      <w:r w:rsidRPr="004E7B13">
        <w:rPr>
          <w:lang w:eastAsia="en-US"/>
        </w:rPr>
        <w:t xml:space="preserve">The binary logistic regression analyses were undertaken using SPSS, with all independent control variables included. The outputs of these analyses were then reviewed to distinguish any variables (or categories within variables) that displayed a statistical significance. This significance was identified where the </w:t>
      </w:r>
      <w:r w:rsidRPr="004E7B13">
        <w:rPr>
          <w:i/>
          <w:iCs/>
          <w:lang w:eastAsia="en-US"/>
        </w:rPr>
        <w:t>Sig</w:t>
      </w:r>
      <w:r w:rsidRPr="004E7B13">
        <w:rPr>
          <w:lang w:eastAsia="en-US"/>
        </w:rPr>
        <w:t xml:space="preserve"> value (or p-value) was &lt;0.05, indicating that there was a less than 5% chance that the variable occurred randomly. Results with a </w:t>
      </w:r>
      <w:r w:rsidRPr="004E7B13">
        <w:rPr>
          <w:i/>
          <w:iCs/>
          <w:lang w:eastAsia="en-US"/>
        </w:rPr>
        <w:t>Sig</w:t>
      </w:r>
      <w:r w:rsidRPr="004E7B13">
        <w:rPr>
          <w:lang w:eastAsia="en-US"/>
        </w:rPr>
        <w:t xml:space="preserve"> value &gt;0.05 were interpreted as indicating no statistically </w:t>
      </w:r>
      <w:r w:rsidRPr="00E254CE">
        <w:rPr>
          <w:lang w:eastAsia="en-US"/>
        </w:rPr>
        <w:t>significant difference.</w:t>
      </w:r>
    </w:p>
    <w:p w14:paraId="45D9E681" w14:textId="77777777" w:rsidR="00A87BA4" w:rsidRPr="00C55822" w:rsidRDefault="00A87BA4" w:rsidP="00A87BA4">
      <w:pPr>
        <w:spacing w:line="276" w:lineRule="auto"/>
      </w:pPr>
      <w:r w:rsidRPr="00E254CE">
        <w:rPr>
          <w:lang w:eastAsia="en-US"/>
        </w:rPr>
        <w:t xml:space="preserve">Where a result was identified as being of statistical significance or likely correlation, the </w:t>
      </w:r>
      <w:r w:rsidRPr="00E254CE">
        <w:rPr>
          <w:i/>
          <w:iCs/>
          <w:lang w:eastAsia="en-US"/>
        </w:rPr>
        <w:t>B</w:t>
      </w:r>
      <w:r w:rsidRPr="00E254CE">
        <w:rPr>
          <w:lang w:eastAsia="en-US"/>
        </w:rPr>
        <w:t xml:space="preserve"> value (or co-efficient) was used to determine if the result was positive (greater than 0) or negative (less than 0) in comparison to the reference group. The </w:t>
      </w:r>
      <w:r w:rsidRPr="00E254CE">
        <w:rPr>
          <w:i/>
          <w:iCs/>
          <w:lang w:eastAsia="en-US"/>
        </w:rPr>
        <w:t>exp(B)</w:t>
      </w:r>
      <w:r w:rsidRPr="00E254CE">
        <w:t xml:space="preserve"> value (or odds ratio) was then used to calculate the relative likelihood of this result occurring. This likelihood is presented as a percentage difference to the percentage of the comparison group achieving this result. The methodology used to calculate the relative likelihood is a formula proposed by Zhang and Yu (1998)</w:t>
      </w:r>
      <w:r w:rsidRPr="00E254CE">
        <w:rPr>
          <w:rStyle w:val="FootnoteReference"/>
          <w:lang w:eastAsia="en-US"/>
        </w:rPr>
        <w:footnoteReference w:id="2"/>
      </w:r>
      <w:r w:rsidRPr="00E254CE">
        <w:t>: “Relative likelihood = OR/((1-P)+(P*OR))”, where OR is the odds ratio (</w:t>
      </w:r>
      <w:r w:rsidRPr="00E254CE">
        <w:rPr>
          <w:i/>
          <w:iCs/>
        </w:rPr>
        <w:t>exp(B)</w:t>
      </w:r>
      <w:r w:rsidRPr="00E254CE">
        <w:t xml:space="preserve">) and P is the proportion of students in the reference group achieving the outcome </w:t>
      </w:r>
      <w:r w:rsidRPr="00C55822">
        <w:t>being analysed (e.g. retained into their second year of study). The relative likelihood values are presented within a 95% confidence interval.</w:t>
      </w:r>
    </w:p>
    <w:p w14:paraId="536CC53E" w14:textId="77777777" w:rsidR="00A87BA4" w:rsidRPr="00C55822" w:rsidRDefault="00A87BA4" w:rsidP="00A87BA4">
      <w:pPr>
        <w:spacing w:line="276" w:lineRule="auto"/>
      </w:pPr>
      <w:r w:rsidRPr="00C55822">
        <w:t xml:space="preserve">The guidance supplied by the </w:t>
      </w:r>
      <w:proofErr w:type="spellStart"/>
      <w:r w:rsidRPr="00C55822">
        <w:t>OfS</w:t>
      </w:r>
      <w:proofErr w:type="spellEnd"/>
      <w:r w:rsidRPr="00C55822">
        <w:t xml:space="preserve"> alongside the analysis toolkit provides an insight into how the results can be interpreted:</w:t>
      </w:r>
    </w:p>
    <w:tbl>
      <w:tblPr>
        <w:tblStyle w:val="UoRTable"/>
        <w:tblW w:w="9498" w:type="dxa"/>
        <w:tblBorders>
          <w:left w:val="single" w:sz="4" w:space="0" w:color="auto"/>
          <w:right w:val="single" w:sz="4" w:space="0" w:color="auto"/>
          <w:insideV w:val="single" w:sz="4" w:space="0" w:color="auto"/>
        </w:tblBorders>
        <w:tblLook w:val="04A0" w:firstRow="1" w:lastRow="0" w:firstColumn="1" w:lastColumn="0" w:noHBand="0" w:noVBand="1"/>
        <w:tblCaption w:val="An example table showing how it should appear with the heading row using white text on black background and the first item on each row in bold."/>
      </w:tblPr>
      <w:tblGrid>
        <w:gridCol w:w="4253"/>
        <w:gridCol w:w="5245"/>
      </w:tblGrid>
      <w:tr w:rsidR="00A87BA4" w:rsidRPr="00827756" w14:paraId="5B11423B" w14:textId="77777777" w:rsidTr="003545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ED7C853" w14:textId="77777777" w:rsidR="00A87BA4" w:rsidRPr="001452BE" w:rsidRDefault="00A87BA4" w:rsidP="00372DAE">
            <w:pPr>
              <w:spacing w:line="276" w:lineRule="auto"/>
              <w:rPr>
                <w:b w:val="0"/>
              </w:rPr>
            </w:pPr>
            <w:r w:rsidRPr="001452BE">
              <w:lastRenderedPageBreak/>
              <w:t xml:space="preserve"> </w:t>
            </w:r>
            <w:r w:rsidRPr="001452BE">
              <w:rPr>
                <w:caps w:val="0"/>
              </w:rPr>
              <w:t>Result</w:t>
            </w:r>
          </w:p>
        </w:tc>
        <w:tc>
          <w:tcPr>
            <w:tcW w:w="524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72CC1BE" w14:textId="77777777" w:rsidR="00A87BA4" w:rsidRPr="001452BE" w:rsidRDefault="00A87BA4" w:rsidP="00372DAE">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1452BE">
              <w:rPr>
                <w:caps w:val="0"/>
              </w:rPr>
              <w:t>What this means</w:t>
            </w:r>
          </w:p>
        </w:tc>
      </w:tr>
      <w:tr w:rsidR="00A87BA4" w:rsidRPr="00827756" w14:paraId="7385476E" w14:textId="77777777" w:rsidTr="003545E6">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4253" w:type="dxa"/>
            <w:hideMark/>
          </w:tcPr>
          <w:p w14:paraId="4026B1B7" w14:textId="77777777" w:rsidR="00A87BA4" w:rsidRPr="001452BE" w:rsidRDefault="00A87BA4" w:rsidP="00372DAE">
            <w:pPr>
              <w:spacing w:line="276" w:lineRule="auto"/>
              <w:rPr>
                <w:b w:val="0"/>
                <w:bCs/>
              </w:rPr>
            </w:pPr>
            <w:r w:rsidRPr="001452BE">
              <w:rPr>
                <w:b w:val="0"/>
                <w:bCs/>
              </w:rPr>
              <w:t xml:space="preserve">Financial support recipients have </w:t>
            </w:r>
            <w:r w:rsidRPr="001452BE">
              <w:t>significantly better outcomes</w:t>
            </w:r>
            <w:r w:rsidRPr="001452BE">
              <w:rPr>
                <w:b w:val="0"/>
                <w:bCs/>
              </w:rPr>
              <w:t xml:space="preserve"> than the </w:t>
            </w:r>
            <w:bookmarkStart w:id="17" w:name="_Hlk221785780"/>
            <w:r>
              <w:rPr>
                <w:b w:val="0"/>
                <w:bCs/>
              </w:rPr>
              <w:t>reference</w:t>
            </w:r>
            <w:r w:rsidRPr="001452BE">
              <w:rPr>
                <w:b w:val="0"/>
                <w:bCs/>
              </w:rPr>
              <w:t xml:space="preserve"> </w:t>
            </w:r>
            <w:bookmarkEnd w:id="17"/>
            <w:r w:rsidRPr="001452BE">
              <w:rPr>
                <w:b w:val="0"/>
                <w:bCs/>
              </w:rPr>
              <w:t>group.</w:t>
            </w:r>
          </w:p>
        </w:tc>
        <w:tc>
          <w:tcPr>
            <w:tcW w:w="5245" w:type="dxa"/>
            <w:hideMark/>
          </w:tcPr>
          <w:p w14:paraId="277CA2FB" w14:textId="77777777" w:rsidR="00A87BA4" w:rsidRPr="001452BE" w:rsidRDefault="00A87BA4" w:rsidP="00372DAE">
            <w:pPr>
              <w:spacing w:line="276" w:lineRule="auto"/>
              <w:cnfStyle w:val="000000000000" w:firstRow="0" w:lastRow="0" w:firstColumn="0" w:lastColumn="0" w:oddVBand="0" w:evenVBand="0" w:oddHBand="0" w:evenHBand="0" w:firstRowFirstColumn="0" w:firstRowLastColumn="0" w:lastRowFirstColumn="0" w:lastRowLastColumn="0"/>
            </w:pPr>
            <w:r w:rsidRPr="001452BE">
              <w:t xml:space="preserve">Indicates that financial support is effective at improving outcomes (and possibly unfairly so with respect to the </w:t>
            </w:r>
            <w:r w:rsidRPr="003A712E">
              <w:t xml:space="preserve">reference </w:t>
            </w:r>
            <w:r w:rsidRPr="001452BE">
              <w:t>group).</w:t>
            </w:r>
          </w:p>
        </w:tc>
      </w:tr>
      <w:tr w:rsidR="00A87BA4" w:rsidRPr="00827756" w14:paraId="28E42682" w14:textId="77777777" w:rsidTr="003545E6">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4253" w:type="dxa"/>
            <w:hideMark/>
          </w:tcPr>
          <w:p w14:paraId="5B123567" w14:textId="77777777" w:rsidR="00A87BA4" w:rsidRPr="001452BE" w:rsidRDefault="00A87BA4" w:rsidP="00372DAE">
            <w:pPr>
              <w:spacing w:line="276" w:lineRule="auto"/>
              <w:rPr>
                <w:b w:val="0"/>
                <w:bCs/>
              </w:rPr>
            </w:pPr>
            <w:r w:rsidRPr="001452BE">
              <w:rPr>
                <w:b w:val="0"/>
                <w:bCs/>
              </w:rPr>
              <w:t xml:space="preserve">Financial support recipients have the </w:t>
            </w:r>
            <w:r w:rsidRPr="001452BE">
              <w:t>same outcomes</w:t>
            </w:r>
            <w:r w:rsidRPr="001452BE">
              <w:rPr>
                <w:b w:val="0"/>
                <w:bCs/>
              </w:rPr>
              <w:t xml:space="preserve"> as the </w:t>
            </w:r>
            <w:r w:rsidRPr="003A712E">
              <w:rPr>
                <w:b w:val="0"/>
                <w:bCs/>
              </w:rPr>
              <w:t xml:space="preserve">reference </w:t>
            </w:r>
            <w:r w:rsidRPr="001452BE">
              <w:rPr>
                <w:b w:val="0"/>
                <w:bCs/>
              </w:rPr>
              <w:t>group (i.e. no significant differences).</w:t>
            </w:r>
          </w:p>
        </w:tc>
        <w:tc>
          <w:tcPr>
            <w:tcW w:w="5245" w:type="dxa"/>
            <w:hideMark/>
          </w:tcPr>
          <w:p w14:paraId="6497A6BA" w14:textId="77777777" w:rsidR="00A87BA4" w:rsidRPr="001452BE" w:rsidRDefault="00A87BA4" w:rsidP="00372DAE">
            <w:pPr>
              <w:spacing w:line="276" w:lineRule="auto"/>
              <w:cnfStyle w:val="000000000000" w:firstRow="0" w:lastRow="0" w:firstColumn="0" w:lastColumn="0" w:oddVBand="0" w:evenVBand="0" w:oddHBand="0" w:evenHBand="0" w:firstRowFirstColumn="0" w:firstRowLastColumn="0" w:lastRowFirstColumn="0" w:lastRowLastColumn="0"/>
            </w:pPr>
            <w:r w:rsidRPr="001452BE">
              <w:t>Indicates that financial support is effective (or there is actually no impact of financial disadvantage on educational outcomes).</w:t>
            </w:r>
          </w:p>
        </w:tc>
      </w:tr>
      <w:tr w:rsidR="00A87BA4" w:rsidRPr="00827756" w14:paraId="28AC6CCD" w14:textId="77777777" w:rsidTr="003545E6">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4253" w:type="dxa"/>
            <w:hideMark/>
          </w:tcPr>
          <w:p w14:paraId="53A60325" w14:textId="77777777" w:rsidR="00A87BA4" w:rsidRPr="001452BE" w:rsidRDefault="00A87BA4" w:rsidP="00372DAE">
            <w:pPr>
              <w:spacing w:line="276" w:lineRule="auto"/>
              <w:rPr>
                <w:b w:val="0"/>
                <w:bCs/>
              </w:rPr>
            </w:pPr>
            <w:r w:rsidRPr="001452BE">
              <w:rPr>
                <w:b w:val="0"/>
                <w:bCs/>
              </w:rPr>
              <w:t xml:space="preserve">Financial support recipients have </w:t>
            </w:r>
            <w:r w:rsidRPr="001452BE">
              <w:t>significantly worse outcomes</w:t>
            </w:r>
            <w:r w:rsidRPr="001452BE">
              <w:rPr>
                <w:b w:val="0"/>
                <w:bCs/>
              </w:rPr>
              <w:t xml:space="preserve"> than the </w:t>
            </w:r>
            <w:r w:rsidRPr="003A712E">
              <w:rPr>
                <w:b w:val="0"/>
                <w:bCs/>
              </w:rPr>
              <w:t xml:space="preserve">reference </w:t>
            </w:r>
            <w:r w:rsidRPr="001452BE">
              <w:rPr>
                <w:b w:val="0"/>
                <w:bCs/>
              </w:rPr>
              <w:t>group.</w:t>
            </w:r>
          </w:p>
        </w:tc>
        <w:tc>
          <w:tcPr>
            <w:tcW w:w="5245" w:type="dxa"/>
            <w:hideMark/>
          </w:tcPr>
          <w:p w14:paraId="22D38BF1" w14:textId="77777777" w:rsidR="00A87BA4" w:rsidRPr="001452BE" w:rsidRDefault="00A87BA4" w:rsidP="00372DAE">
            <w:pPr>
              <w:spacing w:line="276" w:lineRule="auto"/>
              <w:cnfStyle w:val="000000000000" w:firstRow="0" w:lastRow="0" w:firstColumn="0" w:lastColumn="0" w:oddVBand="0" w:evenVBand="0" w:oddHBand="0" w:evenHBand="0" w:firstRowFirstColumn="0" w:firstRowLastColumn="0" w:lastRowFirstColumn="0" w:lastRowLastColumn="0"/>
            </w:pPr>
            <w:r w:rsidRPr="001452BE">
              <w:t>Indicates that financial support is either ineffective or insufficient to overcome the underlying effects of financial disadvantage.</w:t>
            </w:r>
          </w:p>
        </w:tc>
      </w:tr>
    </w:tbl>
    <w:p w14:paraId="08BC9072" w14:textId="77777777" w:rsidR="00F94C7C" w:rsidRDefault="00F94C7C" w:rsidP="00F653EB"/>
    <w:p w14:paraId="2EED61B8" w14:textId="63ABB254" w:rsidR="00F653EB" w:rsidRDefault="00F653EB" w:rsidP="00F70337">
      <w:pPr>
        <w:pStyle w:val="Heading2"/>
      </w:pPr>
      <w:bookmarkStart w:id="18" w:name="_Toc225952932"/>
      <w:r>
        <w:t>Ethics and Data Security</w:t>
      </w:r>
      <w:bookmarkEnd w:id="18"/>
    </w:p>
    <w:p w14:paraId="0D55E8AF" w14:textId="2A854E14" w:rsidR="00881456" w:rsidRDefault="009A5AC8" w:rsidP="009417C4">
      <w:pPr>
        <w:sectPr w:rsidR="00881456" w:rsidSect="00A87BA4">
          <w:pgSz w:w="11906" w:h="16840"/>
          <w:pgMar w:top="1134" w:right="737" w:bottom="1134" w:left="1701" w:header="709" w:footer="709" w:gutter="0"/>
          <w:cols w:space="708"/>
          <w:titlePg/>
          <w:docGrid w:linePitch="360"/>
        </w:sectPr>
      </w:pPr>
      <w:r w:rsidRPr="009A5AC8">
        <w:t xml:space="preserve">All participants </w:t>
      </w:r>
      <w:r w:rsidR="00A87BA4">
        <w:t>were</w:t>
      </w:r>
      <w:r w:rsidRPr="009A5AC8">
        <w:t xml:space="preserve"> aged over 18 and data collection follow</w:t>
      </w:r>
      <w:r w:rsidR="00A87BA4">
        <w:t>ed</w:t>
      </w:r>
      <w:r w:rsidRPr="009A5AC8">
        <w:t xml:space="preserve"> standard ethics procedures.</w:t>
      </w:r>
      <w:r w:rsidR="00F653EB">
        <w:t xml:space="preserve"> </w:t>
      </w:r>
    </w:p>
    <w:p w14:paraId="7A80A80C" w14:textId="6C2F9D2A" w:rsidR="005554E1" w:rsidRDefault="005554E1" w:rsidP="00F70337">
      <w:pPr>
        <w:pStyle w:val="Heading2"/>
      </w:pPr>
      <w:bookmarkStart w:id="19" w:name="_Toc225952933"/>
      <w:r>
        <w:lastRenderedPageBreak/>
        <w:t>Type of evaluation</w:t>
      </w:r>
      <w:bookmarkEnd w:id="19"/>
    </w:p>
    <w:p w14:paraId="34BBBC70" w14:textId="74009EFB" w:rsidR="005554E1" w:rsidRDefault="005A0648" w:rsidP="005554E1">
      <w:r>
        <w:t>Type 1</w:t>
      </w:r>
      <w:r w:rsidR="00E73334">
        <w:t>/2 – the single</w:t>
      </w:r>
      <w:r w:rsidR="006478B7">
        <w:t xml:space="preserve"> timepoint survey</w:t>
      </w:r>
      <w:r w:rsidR="00C24A78">
        <w:t xml:space="preserve"> and focus groups are type 1 evaluation, contributing to the theoretical basis for bursary support. The statistical </w:t>
      </w:r>
      <w:r w:rsidR="00D730B7">
        <w:t>analysis provides some comparison and is therefore type 2.</w:t>
      </w:r>
    </w:p>
    <w:p w14:paraId="79AD3AD5" w14:textId="34309BE9" w:rsidR="005554E1" w:rsidRDefault="005554E1" w:rsidP="00F70337">
      <w:pPr>
        <w:pStyle w:val="Heading2"/>
      </w:pPr>
      <w:bookmarkStart w:id="20" w:name="_Toc225952934"/>
      <w:r>
        <w:t>Limitations</w:t>
      </w:r>
      <w:bookmarkEnd w:id="20"/>
    </w:p>
    <w:p w14:paraId="1918B10A" w14:textId="7FC0D074" w:rsidR="00CA6FFD" w:rsidRDefault="005A0648" w:rsidP="00EE0921">
      <w:r>
        <w:t xml:space="preserve">Data </w:t>
      </w:r>
      <w:r w:rsidR="00E72767">
        <w:t xml:space="preserve">from the survey </w:t>
      </w:r>
      <w:r>
        <w:t>for</w:t>
      </w:r>
      <w:r w:rsidR="00E72767">
        <w:t xml:space="preserve"> the</w:t>
      </w:r>
      <w:r>
        <w:t xml:space="preserve"> 2024/25 cohort is not yet available</w:t>
      </w:r>
      <w:r w:rsidR="005554E1">
        <w:t xml:space="preserve"> </w:t>
      </w:r>
      <w:r w:rsidR="00E94DFD">
        <w:t xml:space="preserve">so </w:t>
      </w:r>
      <w:r w:rsidR="00E72767">
        <w:t xml:space="preserve">we are </w:t>
      </w:r>
      <w:r w:rsidR="00E94DFD">
        <w:t>unable to provide evaluation of the changes made which started in 2024/25.</w:t>
      </w:r>
    </w:p>
    <w:p w14:paraId="334CCB80" w14:textId="6EC799A1" w:rsidR="00D730B7" w:rsidRDefault="00D730B7" w:rsidP="00EE0921">
      <w:r>
        <w:t>Additionally, there are many factors that may impact students</w:t>
      </w:r>
      <w:r w:rsidR="00760939">
        <w:t>’ responses to surveys, and continuation rates.</w:t>
      </w:r>
    </w:p>
    <w:p w14:paraId="5893F6D2" w14:textId="340AB042" w:rsidR="005554E1" w:rsidRDefault="005554E1" w:rsidP="31FF623E">
      <w:pPr>
        <w:pStyle w:val="Heading1"/>
      </w:pPr>
      <w:bookmarkStart w:id="21" w:name="_Toc225952935"/>
      <w:r>
        <w:t>Results</w:t>
      </w:r>
      <w:bookmarkEnd w:id="21"/>
    </w:p>
    <w:p w14:paraId="6065E12C" w14:textId="6316647B" w:rsidR="00E83BBA" w:rsidRDefault="004453BE" w:rsidP="00F70337">
      <w:pPr>
        <w:pStyle w:val="Heading2"/>
      </w:pPr>
      <w:bookmarkStart w:id="22" w:name="_Toc225952936"/>
      <w:r>
        <w:t>Student Financial Support</w:t>
      </w:r>
      <w:r w:rsidR="00E83BBA">
        <w:t xml:space="preserve"> Survey results</w:t>
      </w:r>
      <w:r w:rsidR="00C311E0">
        <w:t xml:space="preserve"> comparison</w:t>
      </w:r>
      <w:bookmarkEnd w:id="22"/>
    </w:p>
    <w:p w14:paraId="06429300" w14:textId="4D5652C9" w:rsidR="004702F3" w:rsidRPr="004702F3" w:rsidRDefault="00BA6A1F" w:rsidP="004702F3">
      <w:pPr>
        <w:rPr>
          <w:lang w:eastAsia="en-US"/>
        </w:rPr>
      </w:pPr>
      <w:r>
        <w:rPr>
          <w:lang w:eastAsia="en-US"/>
        </w:rPr>
        <w:t xml:space="preserve">Students were asked to rate how much they agree </w:t>
      </w:r>
      <w:r w:rsidR="002A63D3">
        <w:rPr>
          <w:lang w:eastAsia="en-US"/>
        </w:rPr>
        <w:t xml:space="preserve">or disagree with the following statements, on a scale 1-5, with 1 being ‘Strongly Disagree’ and 5 being </w:t>
      </w:r>
      <w:r w:rsidR="00FB4C16">
        <w:rPr>
          <w:lang w:eastAsia="en-US"/>
        </w:rPr>
        <w:t>‘Strongly Agree’.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977"/>
        <w:gridCol w:w="3084"/>
      </w:tblGrid>
      <w:tr w:rsidR="00C311E0" w14:paraId="26C19A6A" w14:textId="77777777" w:rsidTr="003545E6">
        <w:tc>
          <w:tcPr>
            <w:tcW w:w="3397" w:type="dxa"/>
          </w:tcPr>
          <w:p w14:paraId="58B8A4D6" w14:textId="1C05C5A6" w:rsidR="00C311E0" w:rsidRPr="0041626B" w:rsidRDefault="00A41956" w:rsidP="00DD43FF">
            <w:pPr>
              <w:rPr>
                <w:b/>
                <w:bCs/>
              </w:rPr>
            </w:pPr>
            <w:r>
              <w:rPr>
                <w:b/>
                <w:bCs/>
              </w:rPr>
              <w:t xml:space="preserve">Received financial </w:t>
            </w:r>
            <w:r w:rsidR="000774C2">
              <w:rPr>
                <w:b/>
                <w:bCs/>
              </w:rPr>
              <w:t>support</w:t>
            </w:r>
          </w:p>
        </w:tc>
        <w:tc>
          <w:tcPr>
            <w:tcW w:w="2977" w:type="dxa"/>
          </w:tcPr>
          <w:p w14:paraId="3E9888CC" w14:textId="1E1B39FE" w:rsidR="00C311E0" w:rsidRPr="0041626B" w:rsidRDefault="00C311E0" w:rsidP="005D3119">
            <w:pPr>
              <w:jc w:val="center"/>
              <w:rPr>
                <w:b/>
                <w:bCs/>
              </w:rPr>
            </w:pPr>
            <w:r w:rsidRPr="0041626B">
              <w:rPr>
                <w:b/>
                <w:bCs/>
              </w:rPr>
              <w:t>202</w:t>
            </w:r>
            <w:r w:rsidR="00010E13" w:rsidRPr="0041626B">
              <w:rPr>
                <w:b/>
                <w:bCs/>
              </w:rPr>
              <w:t>2</w:t>
            </w:r>
            <w:r w:rsidRPr="0041626B">
              <w:rPr>
                <w:b/>
                <w:bCs/>
              </w:rPr>
              <w:t>/2</w:t>
            </w:r>
            <w:r w:rsidR="00010E13" w:rsidRPr="0041626B">
              <w:rPr>
                <w:b/>
                <w:bCs/>
              </w:rPr>
              <w:t>3</w:t>
            </w:r>
          </w:p>
        </w:tc>
        <w:tc>
          <w:tcPr>
            <w:tcW w:w="3084" w:type="dxa"/>
          </w:tcPr>
          <w:p w14:paraId="7CC4D8E4" w14:textId="5DFC4B47" w:rsidR="00C311E0" w:rsidRPr="0041626B" w:rsidRDefault="00C311E0" w:rsidP="005D3119">
            <w:pPr>
              <w:jc w:val="center"/>
              <w:rPr>
                <w:b/>
                <w:bCs/>
              </w:rPr>
            </w:pPr>
            <w:r w:rsidRPr="0041626B">
              <w:rPr>
                <w:b/>
                <w:bCs/>
              </w:rPr>
              <w:t>202</w:t>
            </w:r>
            <w:r w:rsidR="00570D10" w:rsidRPr="0041626B">
              <w:rPr>
                <w:b/>
                <w:bCs/>
              </w:rPr>
              <w:t>3</w:t>
            </w:r>
            <w:r w:rsidRPr="0041626B">
              <w:rPr>
                <w:b/>
                <w:bCs/>
              </w:rPr>
              <w:t>/2</w:t>
            </w:r>
            <w:r w:rsidR="00570D10" w:rsidRPr="0041626B">
              <w:rPr>
                <w:b/>
                <w:bCs/>
              </w:rPr>
              <w:t>4</w:t>
            </w:r>
          </w:p>
        </w:tc>
      </w:tr>
      <w:tr w:rsidR="00C311E0" w14:paraId="57C7A09C" w14:textId="77777777" w:rsidTr="003545E6">
        <w:tc>
          <w:tcPr>
            <w:tcW w:w="3397" w:type="dxa"/>
          </w:tcPr>
          <w:p w14:paraId="6C4DAA73" w14:textId="11744B1A" w:rsidR="00C311E0" w:rsidRDefault="002A63D3" w:rsidP="00DD43FF">
            <w:r>
              <w:t>Question stem</w:t>
            </w:r>
          </w:p>
        </w:tc>
        <w:tc>
          <w:tcPr>
            <w:tcW w:w="2977" w:type="dxa"/>
          </w:tcPr>
          <w:p w14:paraId="7A90E4BA" w14:textId="1D4360A9" w:rsidR="00C311E0" w:rsidRDefault="00144AA5" w:rsidP="005D3119">
            <w:pPr>
              <w:jc w:val="center"/>
            </w:pPr>
            <w:r>
              <w:t>338</w:t>
            </w:r>
          </w:p>
        </w:tc>
        <w:tc>
          <w:tcPr>
            <w:tcW w:w="3084" w:type="dxa"/>
          </w:tcPr>
          <w:p w14:paraId="23A3A397" w14:textId="351AD531" w:rsidR="00C311E0" w:rsidRDefault="00144AA5" w:rsidP="005D3119">
            <w:pPr>
              <w:jc w:val="center"/>
            </w:pPr>
            <w:r>
              <w:t>18</w:t>
            </w:r>
            <w:r w:rsidR="00887180">
              <w:t>8</w:t>
            </w:r>
          </w:p>
        </w:tc>
      </w:tr>
      <w:tr w:rsidR="00C311E0" w14:paraId="7ADB2EE2" w14:textId="77777777" w:rsidTr="003545E6">
        <w:tc>
          <w:tcPr>
            <w:tcW w:w="3397" w:type="dxa"/>
          </w:tcPr>
          <w:p w14:paraId="206968D3" w14:textId="2824FCC0" w:rsidR="00C311E0" w:rsidRDefault="00C3657D" w:rsidP="00C3657D">
            <w:r w:rsidRPr="00C3657D">
              <w:t>Receiving</w:t>
            </w:r>
            <w:r w:rsidR="0041626B">
              <w:t xml:space="preserve"> </w:t>
            </w:r>
            <w:r w:rsidRPr="00C3657D">
              <w:t>financial support helps me to afford to participate along with my fellow students</w:t>
            </w:r>
          </w:p>
        </w:tc>
        <w:tc>
          <w:tcPr>
            <w:tcW w:w="2977" w:type="dxa"/>
          </w:tcPr>
          <w:p w14:paraId="7C22B0BD" w14:textId="77777777" w:rsidR="00C311E0" w:rsidRDefault="00A967C5" w:rsidP="00DD43FF">
            <w:r>
              <w:t>59% strongly agree</w:t>
            </w:r>
          </w:p>
          <w:p w14:paraId="140113C9" w14:textId="77777777" w:rsidR="00A967C5" w:rsidRDefault="008F7DED" w:rsidP="00DD43FF">
            <w:r>
              <w:t>30% agree</w:t>
            </w:r>
          </w:p>
          <w:p w14:paraId="06E72C90" w14:textId="002A12CB" w:rsidR="00187994" w:rsidRDefault="00187994" w:rsidP="00DD43FF">
            <w:r>
              <w:t>Mean</w:t>
            </w:r>
            <w:r w:rsidR="00AB6782">
              <w:t xml:space="preserve"> score = 4.43</w:t>
            </w:r>
          </w:p>
        </w:tc>
        <w:tc>
          <w:tcPr>
            <w:tcW w:w="3084" w:type="dxa"/>
          </w:tcPr>
          <w:p w14:paraId="3E94AE92" w14:textId="77777777" w:rsidR="00C311E0" w:rsidRDefault="0040099E" w:rsidP="00DD43FF">
            <w:r>
              <w:t>66% strongly agree</w:t>
            </w:r>
          </w:p>
          <w:p w14:paraId="4146A31A" w14:textId="77777777" w:rsidR="0040099E" w:rsidRDefault="004453BE" w:rsidP="00DD43FF">
            <w:r>
              <w:t>28% agree</w:t>
            </w:r>
          </w:p>
          <w:p w14:paraId="6DA555D8" w14:textId="7CD32956" w:rsidR="00763FBE" w:rsidRDefault="00763FBE" w:rsidP="00DD43FF">
            <w:r>
              <w:t>Mean score =</w:t>
            </w:r>
            <w:r w:rsidR="00BF5D29">
              <w:t xml:space="preserve"> </w:t>
            </w:r>
            <w:r w:rsidR="00887180">
              <w:t>4.57</w:t>
            </w:r>
          </w:p>
        </w:tc>
      </w:tr>
      <w:tr w:rsidR="00C311E0" w14:paraId="3447C58F" w14:textId="77777777" w:rsidTr="003545E6">
        <w:tc>
          <w:tcPr>
            <w:tcW w:w="3397" w:type="dxa"/>
          </w:tcPr>
          <w:p w14:paraId="45A29833" w14:textId="4E83FC79" w:rsidR="00C311E0" w:rsidRDefault="0041626B" w:rsidP="0041626B">
            <w:r>
              <w:t>Receiving financial support helps me to be able to concentrate on my studies without worrying about my finances</w:t>
            </w:r>
          </w:p>
        </w:tc>
        <w:tc>
          <w:tcPr>
            <w:tcW w:w="2977" w:type="dxa"/>
          </w:tcPr>
          <w:p w14:paraId="59EDBFE3" w14:textId="77777777" w:rsidR="00C311E0" w:rsidRDefault="008F7DED" w:rsidP="00DD43FF">
            <w:r>
              <w:t>57% strongly agree</w:t>
            </w:r>
          </w:p>
          <w:p w14:paraId="362A67BA" w14:textId="77777777" w:rsidR="008F7DED" w:rsidRDefault="00123C12" w:rsidP="00DD43FF">
            <w:r>
              <w:t>29% agree</w:t>
            </w:r>
          </w:p>
          <w:p w14:paraId="09B5BF5D" w14:textId="02F9C4F6" w:rsidR="000110BF" w:rsidRDefault="000110BF" w:rsidP="00DD43FF">
            <w:r>
              <w:t xml:space="preserve">Mean score = </w:t>
            </w:r>
            <w:r w:rsidR="00C40D1E">
              <w:t>4.33</w:t>
            </w:r>
          </w:p>
        </w:tc>
        <w:tc>
          <w:tcPr>
            <w:tcW w:w="3084" w:type="dxa"/>
          </w:tcPr>
          <w:p w14:paraId="54316088" w14:textId="77777777" w:rsidR="00C311E0" w:rsidRDefault="004453BE" w:rsidP="00DD43FF">
            <w:r>
              <w:t>64% strongly agree</w:t>
            </w:r>
          </w:p>
          <w:p w14:paraId="2F6F47E8" w14:textId="77777777" w:rsidR="004453BE" w:rsidRDefault="004453BE" w:rsidP="00DD43FF">
            <w:r>
              <w:t>29% agree</w:t>
            </w:r>
          </w:p>
          <w:p w14:paraId="1C7AF64E" w14:textId="5033E0C8" w:rsidR="00763FBE" w:rsidRDefault="00763FBE" w:rsidP="00DD43FF">
            <w:r>
              <w:t>Mean score =</w:t>
            </w:r>
            <w:r w:rsidR="00887180">
              <w:t xml:space="preserve"> </w:t>
            </w:r>
            <w:r w:rsidR="00062060">
              <w:t>4.54</w:t>
            </w:r>
          </w:p>
        </w:tc>
      </w:tr>
      <w:tr w:rsidR="00C311E0" w14:paraId="1B4E49F6" w14:textId="77777777" w:rsidTr="003545E6">
        <w:tc>
          <w:tcPr>
            <w:tcW w:w="3397" w:type="dxa"/>
          </w:tcPr>
          <w:p w14:paraId="4072D3C5" w14:textId="00A6DC30" w:rsidR="00C311E0" w:rsidRDefault="00E30D35" w:rsidP="00E30D35">
            <w:r>
              <w:t>Receiving financial support helps me to be able to balance commitments such as work, study and family relationships</w:t>
            </w:r>
          </w:p>
        </w:tc>
        <w:tc>
          <w:tcPr>
            <w:tcW w:w="2977" w:type="dxa"/>
          </w:tcPr>
          <w:p w14:paraId="5062E137" w14:textId="77777777" w:rsidR="00C311E0" w:rsidRDefault="00793507" w:rsidP="00DD43FF">
            <w:r>
              <w:t>52% strongly agree</w:t>
            </w:r>
          </w:p>
          <w:p w14:paraId="323A8C61" w14:textId="77777777" w:rsidR="00793507" w:rsidRDefault="000421DD" w:rsidP="00DD43FF">
            <w:r>
              <w:t>33% agree</w:t>
            </w:r>
          </w:p>
          <w:p w14:paraId="1032F7B9" w14:textId="5C299C8B" w:rsidR="000110BF" w:rsidRDefault="000110BF" w:rsidP="00DD43FF">
            <w:r>
              <w:t>Mean score =</w:t>
            </w:r>
            <w:r w:rsidR="008D4034">
              <w:t xml:space="preserve"> </w:t>
            </w:r>
            <w:r w:rsidR="009A5741">
              <w:t>4.34</w:t>
            </w:r>
          </w:p>
        </w:tc>
        <w:tc>
          <w:tcPr>
            <w:tcW w:w="3084" w:type="dxa"/>
          </w:tcPr>
          <w:p w14:paraId="4266262B" w14:textId="77777777" w:rsidR="00C311E0" w:rsidRDefault="004226CF" w:rsidP="00DD43FF">
            <w:r>
              <w:t>60% strongly agree</w:t>
            </w:r>
          </w:p>
          <w:p w14:paraId="6F6B5FA5" w14:textId="77777777" w:rsidR="004226CF" w:rsidRDefault="004226CF" w:rsidP="00DD43FF">
            <w:r>
              <w:t>35% agree</w:t>
            </w:r>
          </w:p>
          <w:p w14:paraId="0E562ECE" w14:textId="79E042B1" w:rsidR="00763FBE" w:rsidRDefault="00763FBE" w:rsidP="00DD43FF">
            <w:r>
              <w:t>Mean score =</w:t>
            </w:r>
            <w:r w:rsidR="006E6A76">
              <w:t xml:space="preserve"> 4.53</w:t>
            </w:r>
          </w:p>
        </w:tc>
      </w:tr>
      <w:tr w:rsidR="00C311E0" w14:paraId="2E280A21" w14:textId="77777777" w:rsidTr="003545E6">
        <w:tc>
          <w:tcPr>
            <w:tcW w:w="3397" w:type="dxa"/>
          </w:tcPr>
          <w:p w14:paraId="257833E4" w14:textId="061BDC8D" w:rsidR="00C311E0" w:rsidRDefault="002D34F2" w:rsidP="002D34F2">
            <w:r>
              <w:lastRenderedPageBreak/>
              <w:t>Receiving financial support helps me to feel less anxious than I would have felt otherwise</w:t>
            </w:r>
          </w:p>
        </w:tc>
        <w:tc>
          <w:tcPr>
            <w:tcW w:w="2977" w:type="dxa"/>
          </w:tcPr>
          <w:p w14:paraId="1FA3368B" w14:textId="77777777" w:rsidR="00C311E0" w:rsidRDefault="000421DD" w:rsidP="00DD43FF">
            <w:r>
              <w:t>60% strongly agree</w:t>
            </w:r>
          </w:p>
          <w:p w14:paraId="07CC2ED9" w14:textId="77777777" w:rsidR="000421DD" w:rsidRDefault="009D007D" w:rsidP="00DD43FF">
            <w:r>
              <w:t>31% agree</w:t>
            </w:r>
          </w:p>
          <w:p w14:paraId="0F6B7D49" w14:textId="49249B3F" w:rsidR="000110BF" w:rsidRDefault="000110BF" w:rsidP="00DD43FF">
            <w:r>
              <w:t>Mean score =</w:t>
            </w:r>
            <w:r w:rsidR="009A5741">
              <w:t xml:space="preserve"> </w:t>
            </w:r>
            <w:r w:rsidR="0050286A">
              <w:t>4.45</w:t>
            </w:r>
          </w:p>
        </w:tc>
        <w:tc>
          <w:tcPr>
            <w:tcW w:w="3084" w:type="dxa"/>
          </w:tcPr>
          <w:p w14:paraId="7CE33AF4" w14:textId="77777777" w:rsidR="00C311E0" w:rsidRDefault="000D55FD" w:rsidP="00DD43FF">
            <w:r>
              <w:t>65% strongly agree</w:t>
            </w:r>
          </w:p>
          <w:p w14:paraId="72758B0D" w14:textId="77777777" w:rsidR="000D55FD" w:rsidRDefault="000D55FD" w:rsidP="00DD43FF">
            <w:r>
              <w:t>28% agree</w:t>
            </w:r>
          </w:p>
          <w:p w14:paraId="29B209A0" w14:textId="67C7CDC6" w:rsidR="00763FBE" w:rsidRDefault="00763FBE" w:rsidP="00DD43FF">
            <w:r>
              <w:t>Mean score =</w:t>
            </w:r>
            <w:r w:rsidR="006E6A76">
              <w:t xml:space="preserve"> </w:t>
            </w:r>
            <w:r w:rsidR="00825037">
              <w:t>4.57</w:t>
            </w:r>
          </w:p>
        </w:tc>
      </w:tr>
      <w:tr w:rsidR="00BB5D7B" w14:paraId="37907CAE" w14:textId="77777777" w:rsidTr="003545E6">
        <w:tc>
          <w:tcPr>
            <w:tcW w:w="3397" w:type="dxa"/>
          </w:tcPr>
          <w:p w14:paraId="7B595E7A" w14:textId="01B61FDD" w:rsidR="00BB5D7B" w:rsidRDefault="00196384" w:rsidP="002D34F2">
            <w:r w:rsidRPr="00196384">
              <w:t>Did you undertake any paid work during 2022/23?</w:t>
            </w:r>
          </w:p>
        </w:tc>
        <w:tc>
          <w:tcPr>
            <w:tcW w:w="2977" w:type="dxa"/>
          </w:tcPr>
          <w:p w14:paraId="2E8A7A5D" w14:textId="356ACDF0" w:rsidR="00BB5D7B" w:rsidRDefault="00CF6DF6" w:rsidP="00DD43FF">
            <w:r>
              <w:t xml:space="preserve">74% </w:t>
            </w:r>
            <w:r w:rsidR="0056336B">
              <w:t xml:space="preserve">answered </w:t>
            </w:r>
            <w:r>
              <w:t>yes</w:t>
            </w:r>
            <w:r w:rsidR="0056336B">
              <w:t xml:space="preserve"> with 62% reporting having to work</w:t>
            </w:r>
            <w:r w:rsidR="00B6303A">
              <w:t xml:space="preserve"> in term and non-term time</w:t>
            </w:r>
          </w:p>
        </w:tc>
        <w:tc>
          <w:tcPr>
            <w:tcW w:w="3084" w:type="dxa"/>
          </w:tcPr>
          <w:p w14:paraId="118507FF" w14:textId="61AECE68" w:rsidR="00BB5D7B" w:rsidRDefault="009579CC" w:rsidP="00DD43FF">
            <w:r w:rsidRPr="009579CC">
              <w:t>7</w:t>
            </w:r>
            <w:r>
              <w:t>9</w:t>
            </w:r>
            <w:r w:rsidRPr="009579CC">
              <w:t>% answered yes with 6</w:t>
            </w:r>
            <w:r w:rsidR="000D6CEF">
              <w:t>9</w:t>
            </w:r>
            <w:r w:rsidRPr="009579CC">
              <w:t>% reporting having to work in term and non-term time</w:t>
            </w:r>
          </w:p>
        </w:tc>
      </w:tr>
      <w:tr w:rsidR="000D6CEF" w14:paraId="4D9CF52B" w14:textId="77777777" w:rsidTr="003545E6">
        <w:tc>
          <w:tcPr>
            <w:tcW w:w="3397" w:type="dxa"/>
          </w:tcPr>
          <w:p w14:paraId="23F78EA5" w14:textId="7B6AA193" w:rsidR="000D6CEF" w:rsidRDefault="000D6CEF" w:rsidP="000D6CEF">
            <w:r>
              <w:t>Average number of hours undertaking paid work (in term time only)</w:t>
            </w:r>
          </w:p>
        </w:tc>
        <w:tc>
          <w:tcPr>
            <w:tcW w:w="2977" w:type="dxa"/>
          </w:tcPr>
          <w:p w14:paraId="1D8C7F0B" w14:textId="77777777" w:rsidR="000D6CEF" w:rsidRDefault="000D6CEF" w:rsidP="000D6CEF">
            <w:r>
              <w:t xml:space="preserve">7% did </w:t>
            </w:r>
            <w:r w:rsidRPr="00211647">
              <w:t>21 hours per week or more</w:t>
            </w:r>
            <w:r>
              <w:t>.</w:t>
            </w:r>
          </w:p>
          <w:p w14:paraId="4C800252" w14:textId="77777777" w:rsidR="000D6CEF" w:rsidRDefault="000D6CEF" w:rsidP="000D6CEF">
            <w:r>
              <w:t xml:space="preserve">23% did </w:t>
            </w:r>
            <w:r w:rsidRPr="001B106F">
              <w:t>15 - 20 hours per week</w:t>
            </w:r>
            <w:r>
              <w:t>.</w:t>
            </w:r>
          </w:p>
          <w:p w14:paraId="6B281267" w14:textId="32E07A81" w:rsidR="000D6CEF" w:rsidRDefault="000D6CEF" w:rsidP="000D6CEF">
            <w:r>
              <w:t xml:space="preserve">19% did </w:t>
            </w:r>
            <w:r w:rsidRPr="0067220E">
              <w:t>9 - 14 hours per week</w:t>
            </w:r>
          </w:p>
        </w:tc>
        <w:tc>
          <w:tcPr>
            <w:tcW w:w="3084" w:type="dxa"/>
          </w:tcPr>
          <w:p w14:paraId="72FC43A3" w14:textId="6247E9EC" w:rsidR="000D6CEF" w:rsidRDefault="0059359C" w:rsidP="000D6CEF">
            <w:r>
              <w:t>7</w:t>
            </w:r>
            <w:r w:rsidR="000D6CEF">
              <w:t xml:space="preserve">% did </w:t>
            </w:r>
            <w:r w:rsidR="000D6CEF" w:rsidRPr="00211647">
              <w:t>21 hours per week or more</w:t>
            </w:r>
            <w:r w:rsidR="000D6CEF">
              <w:t>.</w:t>
            </w:r>
          </w:p>
          <w:p w14:paraId="52BBB0DC" w14:textId="3F5F61A4" w:rsidR="000D6CEF" w:rsidRDefault="0059359C" w:rsidP="000D6CEF">
            <w:r>
              <w:t>21</w:t>
            </w:r>
            <w:r w:rsidR="000D6CEF">
              <w:t xml:space="preserve">% did </w:t>
            </w:r>
            <w:r w:rsidR="000D6CEF" w:rsidRPr="001B106F">
              <w:t>15 - 20 hours per week</w:t>
            </w:r>
            <w:r w:rsidR="000D6CEF">
              <w:t>.</w:t>
            </w:r>
          </w:p>
          <w:p w14:paraId="7B56D7AD" w14:textId="0ED43A08" w:rsidR="000D6CEF" w:rsidRDefault="0059359C" w:rsidP="000D6CEF">
            <w:r>
              <w:t>21</w:t>
            </w:r>
            <w:r w:rsidR="000D6CEF">
              <w:t xml:space="preserve">% did </w:t>
            </w:r>
            <w:r w:rsidR="000D6CEF" w:rsidRPr="0067220E">
              <w:t>9 - 14 hours per week</w:t>
            </w:r>
          </w:p>
        </w:tc>
      </w:tr>
      <w:tr w:rsidR="000D6CEF" w14:paraId="60746101" w14:textId="77777777" w:rsidTr="003545E6">
        <w:tc>
          <w:tcPr>
            <w:tcW w:w="3397" w:type="dxa"/>
          </w:tcPr>
          <w:p w14:paraId="68DD6B86" w14:textId="05542641" w:rsidR="000D6CEF" w:rsidRDefault="000D6CEF" w:rsidP="000D6CEF">
            <w:r>
              <w:t xml:space="preserve">Importance of </w:t>
            </w:r>
            <w:r w:rsidRPr="00CB6E07">
              <w:t>having a paid job in helping you to financially continue at</w:t>
            </w:r>
            <w:r w:rsidRPr="00CB6E07">
              <w:br/>
              <w:t>university</w:t>
            </w:r>
          </w:p>
        </w:tc>
        <w:tc>
          <w:tcPr>
            <w:tcW w:w="2977" w:type="dxa"/>
          </w:tcPr>
          <w:p w14:paraId="1172EFFD" w14:textId="31CA8C6C" w:rsidR="000D6CEF" w:rsidRDefault="000D6CEF" w:rsidP="000D6CEF">
            <w:r>
              <w:t>49% very important</w:t>
            </w:r>
          </w:p>
        </w:tc>
        <w:tc>
          <w:tcPr>
            <w:tcW w:w="3084" w:type="dxa"/>
          </w:tcPr>
          <w:p w14:paraId="016D7D81" w14:textId="2E763D87" w:rsidR="000D6CEF" w:rsidRDefault="000A6857" w:rsidP="000D6CEF">
            <w:r>
              <w:t>63% very important</w:t>
            </w:r>
          </w:p>
        </w:tc>
      </w:tr>
    </w:tbl>
    <w:p w14:paraId="6CBF882B" w14:textId="77777777" w:rsidR="00C311E0" w:rsidRDefault="00C311E0" w:rsidP="00DD43FF"/>
    <w:p w14:paraId="56BEF47C" w14:textId="7EACF0EA" w:rsidR="00F42897" w:rsidRPr="00F70337" w:rsidRDefault="00F42897" w:rsidP="00F70337">
      <w:pPr>
        <w:rPr>
          <w:b/>
          <w:bCs/>
        </w:rPr>
      </w:pPr>
      <w:r w:rsidRPr="00F70337">
        <w:rPr>
          <w:b/>
          <w:bCs/>
        </w:rPr>
        <w:t xml:space="preserve">Qualitative comments from the </w:t>
      </w:r>
      <w:r w:rsidR="001F1104" w:rsidRPr="00F70337">
        <w:rPr>
          <w:b/>
          <w:bCs/>
        </w:rPr>
        <w:t xml:space="preserve">2022/23 </w:t>
      </w:r>
      <w:r w:rsidR="00935394" w:rsidRPr="00F70337">
        <w:rPr>
          <w:b/>
          <w:bCs/>
        </w:rPr>
        <w:t>student financial support</w:t>
      </w:r>
      <w:r w:rsidR="001F1104" w:rsidRPr="00F70337">
        <w:rPr>
          <w:b/>
          <w:bCs/>
        </w:rPr>
        <w:t xml:space="preserve"> survey:</w:t>
      </w:r>
    </w:p>
    <w:p w14:paraId="16798C60" w14:textId="77777777" w:rsidR="001C6530" w:rsidRPr="003539E4" w:rsidRDefault="001F1104" w:rsidP="001C6530">
      <w:pPr>
        <w:pStyle w:val="Quote"/>
        <w:rPr>
          <w:color w:val="auto"/>
        </w:rPr>
      </w:pPr>
      <w:r w:rsidRPr="003539E4">
        <w:rPr>
          <w:color w:val="auto"/>
        </w:rPr>
        <w:t>“Being a single full time parent with sole custody, and participating in university full time means money can be tight and I have to make things stretch. Receiving financial aid from university such as a bursary or student hardship helps to lessen the stress of figuring out what I have to cut from my budget to make things work”.</w:t>
      </w:r>
    </w:p>
    <w:p w14:paraId="0CC6558F" w14:textId="77777777" w:rsidR="001C6530" w:rsidRPr="003539E4" w:rsidRDefault="001F1104" w:rsidP="001C6530">
      <w:pPr>
        <w:pStyle w:val="Quote"/>
        <w:rPr>
          <w:color w:val="auto"/>
        </w:rPr>
      </w:pPr>
      <w:r w:rsidRPr="003539E4">
        <w:rPr>
          <w:color w:val="auto"/>
        </w:rPr>
        <w:t>“While I do still experience financial anxiety, the bursary definitely helped alleviate some of it”.</w:t>
      </w:r>
    </w:p>
    <w:p w14:paraId="3058EC38" w14:textId="40761311" w:rsidR="001F1104" w:rsidRPr="003539E4" w:rsidRDefault="001F1104" w:rsidP="001C6530">
      <w:pPr>
        <w:pStyle w:val="Quote"/>
        <w:rPr>
          <w:color w:val="auto"/>
        </w:rPr>
      </w:pPr>
      <w:r w:rsidRPr="003539E4">
        <w:rPr>
          <w:color w:val="auto"/>
        </w:rPr>
        <w:t>“Rent is very expensive in Reading which usually maintenance loans do not cover. My financial support bursary allows me to pay rent for a month which frees my mind when it comes to paying other bills”.</w:t>
      </w:r>
    </w:p>
    <w:p w14:paraId="49998869" w14:textId="40BF4E86" w:rsidR="001F1104" w:rsidRPr="003539E4" w:rsidRDefault="001F1104" w:rsidP="001C6530">
      <w:pPr>
        <w:pStyle w:val="Quote"/>
        <w:rPr>
          <w:color w:val="auto"/>
        </w:rPr>
      </w:pPr>
      <w:r w:rsidRPr="003539E4">
        <w:rPr>
          <w:color w:val="auto"/>
        </w:rPr>
        <w:t>“Money was always an issue coming from a home where I knew I would not be able to receive much parental support and the bursary really helped relieve a bit of stress. Especially when student finance loan is not enough to cover both rent and living costs”.</w:t>
      </w:r>
    </w:p>
    <w:p w14:paraId="59B12DAD" w14:textId="3912712C" w:rsidR="001F1104" w:rsidRPr="003539E4" w:rsidRDefault="001F1104" w:rsidP="003539E4">
      <w:pPr>
        <w:pStyle w:val="Quote"/>
        <w:rPr>
          <w:color w:val="auto"/>
          <w:lang w:val="en-US"/>
        </w:rPr>
      </w:pPr>
      <w:r w:rsidRPr="003539E4">
        <w:rPr>
          <w:color w:val="auto"/>
        </w:rPr>
        <w:t>“Of course financial anxiety is a more or less constant thing, but support from Reading has made it clear that help is always available if and when it becomes unmanageable”.</w:t>
      </w:r>
    </w:p>
    <w:p w14:paraId="1A7C9564" w14:textId="4E1C6453" w:rsidR="008A3860" w:rsidRPr="00F70337" w:rsidRDefault="0004662E" w:rsidP="00F70337">
      <w:pPr>
        <w:rPr>
          <w:b/>
          <w:bCs/>
        </w:rPr>
      </w:pPr>
      <w:r w:rsidRPr="00F70337">
        <w:rPr>
          <w:b/>
          <w:bCs/>
        </w:rPr>
        <w:lastRenderedPageBreak/>
        <w:t xml:space="preserve">Qualitative comments from the 2023/24 </w:t>
      </w:r>
      <w:r w:rsidR="00935394" w:rsidRPr="00F70337">
        <w:rPr>
          <w:b/>
          <w:bCs/>
        </w:rPr>
        <w:t>student financial support</w:t>
      </w:r>
      <w:r w:rsidRPr="00F70337">
        <w:rPr>
          <w:b/>
          <w:bCs/>
        </w:rPr>
        <w:t xml:space="preserve"> survey:</w:t>
      </w:r>
    </w:p>
    <w:p w14:paraId="7D16A407" w14:textId="7496BAB7" w:rsidR="0004662E" w:rsidRPr="003539E4" w:rsidRDefault="00D17B3E" w:rsidP="001C6530">
      <w:pPr>
        <w:pStyle w:val="Quote"/>
        <w:rPr>
          <w:color w:val="auto"/>
        </w:rPr>
      </w:pPr>
      <w:r w:rsidRPr="003539E4">
        <w:rPr>
          <w:color w:val="auto"/>
        </w:rPr>
        <w:t>“Takes a weight off of my shoulders and I don't have to worry more about money than my studies”</w:t>
      </w:r>
    </w:p>
    <w:p w14:paraId="3113E6B3" w14:textId="52806D97" w:rsidR="00D17B3E" w:rsidRPr="003539E4" w:rsidRDefault="00C80DB5" w:rsidP="001C6530">
      <w:pPr>
        <w:pStyle w:val="Quote"/>
        <w:rPr>
          <w:color w:val="auto"/>
        </w:rPr>
      </w:pPr>
      <w:r w:rsidRPr="003539E4">
        <w:rPr>
          <w:color w:val="auto"/>
        </w:rPr>
        <w:t>“It has eased my anxiety about my finances as I started a course that required me to buy materials on it.”</w:t>
      </w:r>
    </w:p>
    <w:p w14:paraId="11741860" w14:textId="37329E50" w:rsidR="00C80DB5" w:rsidRPr="003539E4" w:rsidRDefault="00C80DB5" w:rsidP="001C6530">
      <w:pPr>
        <w:pStyle w:val="Quote"/>
        <w:rPr>
          <w:color w:val="auto"/>
        </w:rPr>
      </w:pPr>
      <w:r w:rsidRPr="003539E4">
        <w:rPr>
          <w:color w:val="auto"/>
        </w:rPr>
        <w:t>“The bursary has significantly reduced my financial anxiety by covering essential expenses, allowing me to focus more on my studies without constant worry about funding. Knowing that part of my financial burden is alleviated has given me a greater sense of security and stability, which positively impacts my academic performance and overall well-being.”</w:t>
      </w:r>
    </w:p>
    <w:p w14:paraId="7A4AC2CD" w14:textId="0CF4E428" w:rsidR="001A5CA5" w:rsidRPr="003539E4" w:rsidRDefault="001A5CA5" w:rsidP="001C6530">
      <w:pPr>
        <w:pStyle w:val="Quote"/>
        <w:rPr>
          <w:color w:val="auto"/>
        </w:rPr>
      </w:pPr>
      <w:r w:rsidRPr="003539E4">
        <w:rPr>
          <w:color w:val="auto"/>
        </w:rPr>
        <w:t>“Helps remove the worry of money and paying for university so reduces that anxiety”</w:t>
      </w:r>
    </w:p>
    <w:p w14:paraId="6100CC46" w14:textId="77777777" w:rsidR="007D3470" w:rsidRPr="003539E4" w:rsidRDefault="007D3470" w:rsidP="001C6530">
      <w:pPr>
        <w:pStyle w:val="Quote"/>
        <w:rPr>
          <w:color w:val="auto"/>
        </w:rPr>
      </w:pPr>
      <w:r w:rsidRPr="003539E4">
        <w:rPr>
          <w:color w:val="auto"/>
        </w:rPr>
        <w:t xml:space="preserve">“I have had significant less stress about being able to afford books, food and bills.” </w:t>
      </w:r>
    </w:p>
    <w:p w14:paraId="76A97956" w14:textId="77777777" w:rsidR="007D3470" w:rsidRPr="003539E4" w:rsidRDefault="007D3470" w:rsidP="001C6530">
      <w:pPr>
        <w:pStyle w:val="Quote"/>
        <w:rPr>
          <w:color w:val="auto"/>
        </w:rPr>
      </w:pPr>
      <w:r w:rsidRPr="003539E4">
        <w:rPr>
          <w:color w:val="auto"/>
        </w:rPr>
        <w:t xml:space="preserve">“It gives me an extra sense of security that I have some extra income coming in. It means that I can buy food and join in in society's and I know that I don't have to worry about the added debt this amount of money would otherwise be.” </w:t>
      </w:r>
    </w:p>
    <w:p w14:paraId="5EA0C543" w14:textId="77777777" w:rsidR="007D3470" w:rsidRPr="003539E4" w:rsidRDefault="007D3470" w:rsidP="001C6530">
      <w:pPr>
        <w:pStyle w:val="Quote"/>
        <w:rPr>
          <w:color w:val="auto"/>
        </w:rPr>
      </w:pPr>
      <w:r w:rsidRPr="003539E4">
        <w:rPr>
          <w:color w:val="auto"/>
        </w:rPr>
        <w:t xml:space="preserve">“The bursary allows some of the anxiety regarding bills and groceries to be lifted to some extent” </w:t>
      </w:r>
    </w:p>
    <w:p w14:paraId="5291A43E" w14:textId="545C8634" w:rsidR="007D3470" w:rsidRPr="003539E4" w:rsidRDefault="007D3470" w:rsidP="001C6530">
      <w:pPr>
        <w:pStyle w:val="Quote"/>
        <w:rPr>
          <w:color w:val="auto"/>
        </w:rPr>
      </w:pPr>
      <w:r w:rsidRPr="003539E4">
        <w:rPr>
          <w:color w:val="auto"/>
        </w:rPr>
        <w:t xml:space="preserve">“Significantly reduced my anxiety. I always have some level of anxiety around having enough money. Receiving the bursary has enabled me to enjoy time at university without feeling super worried or guilty about spending money on activities that benefit my physical, social, and mental health, help me make the most out of my academics, and help me feel a part of Reading's community.” </w:t>
      </w:r>
    </w:p>
    <w:p w14:paraId="6134AB4D" w14:textId="3856BBCF" w:rsidR="001A5CA5" w:rsidRPr="003539E4" w:rsidRDefault="007D3470" w:rsidP="001C6530">
      <w:pPr>
        <w:pStyle w:val="Quote"/>
        <w:rPr>
          <w:color w:val="auto"/>
        </w:rPr>
      </w:pPr>
      <w:r w:rsidRPr="003539E4">
        <w:rPr>
          <w:color w:val="auto"/>
        </w:rPr>
        <w:t>“Knowing that I was getting money on a certain date, helped budget better, made me not worry about how I am going to afford food on certain days, or worrying about missing out on social events.”</w:t>
      </w:r>
    </w:p>
    <w:p w14:paraId="442C8CDD" w14:textId="4DB9984A" w:rsidR="00EB45A8" w:rsidRDefault="00B103A4" w:rsidP="00B601F7">
      <w:pPr>
        <w:pStyle w:val="Heading2"/>
      </w:pPr>
      <w:bookmarkStart w:id="23" w:name="_Toc225952937"/>
      <w:r>
        <w:t xml:space="preserve">Using the </w:t>
      </w:r>
      <w:r w:rsidR="00EE4904">
        <w:t xml:space="preserve">Office for Students </w:t>
      </w:r>
      <w:r>
        <w:t xml:space="preserve">framework for </w:t>
      </w:r>
      <w:r w:rsidR="00D12328">
        <w:t>financi</w:t>
      </w:r>
      <w:r w:rsidR="007E0C92">
        <w:t xml:space="preserve">al support </w:t>
      </w:r>
      <w:r w:rsidR="00856BCF">
        <w:t>statistical</w:t>
      </w:r>
      <w:r>
        <w:t xml:space="preserve"> analysis</w:t>
      </w:r>
      <w:bookmarkEnd w:id="23"/>
      <w:r w:rsidR="007E0C92">
        <w:t xml:space="preserve"> </w:t>
      </w:r>
    </w:p>
    <w:p w14:paraId="45D0889B" w14:textId="77777777" w:rsidR="00F41A24" w:rsidRPr="00C55822" w:rsidRDefault="00F41A24" w:rsidP="00F41A24">
      <w:pPr>
        <w:pStyle w:val="Heading3"/>
        <w:spacing w:line="276" w:lineRule="auto"/>
      </w:pPr>
      <w:bookmarkStart w:id="24" w:name="_Toc225952938"/>
      <w:r w:rsidRPr="00C55822">
        <w:t>Continuation</w:t>
      </w:r>
      <w:bookmarkEnd w:id="24"/>
    </w:p>
    <w:p w14:paraId="6C157E65" w14:textId="77777777" w:rsidR="00F41A24" w:rsidRDefault="00F41A24" w:rsidP="00F41A24">
      <w:pPr>
        <w:spacing w:line="276" w:lineRule="auto"/>
        <w:rPr>
          <w:lang w:eastAsia="en-US"/>
        </w:rPr>
      </w:pPr>
      <w:r>
        <w:rPr>
          <w:lang w:eastAsia="en-US"/>
        </w:rPr>
        <w:t>T</w:t>
      </w:r>
      <w:r w:rsidRPr="00036C2F">
        <w:rPr>
          <w:lang w:eastAsia="en-US"/>
        </w:rPr>
        <w:t xml:space="preserve">here were no statistically significant differences observed between </w:t>
      </w:r>
      <w:r>
        <w:rPr>
          <w:lang w:eastAsia="en-US"/>
        </w:rPr>
        <w:t xml:space="preserve">bursary-eligible </w:t>
      </w:r>
      <w:r w:rsidRPr="00036C2F">
        <w:rPr>
          <w:lang w:eastAsia="en-US"/>
        </w:rPr>
        <w:t>students and those in the reference group</w:t>
      </w:r>
      <w:r>
        <w:rPr>
          <w:lang w:eastAsia="en-US"/>
        </w:rPr>
        <w:t xml:space="preserve">. </w:t>
      </w:r>
      <w:r w:rsidRPr="00036C2F">
        <w:rPr>
          <w:lang w:eastAsia="en-US"/>
        </w:rPr>
        <w:t xml:space="preserve">This indicates that the financial support provided by the University is effective in </w:t>
      </w:r>
      <w:r>
        <w:rPr>
          <w:lang w:eastAsia="en-US"/>
        </w:rPr>
        <w:t>improving continuation</w:t>
      </w:r>
      <w:r w:rsidRPr="00036C2F">
        <w:rPr>
          <w:lang w:eastAsia="en-US"/>
        </w:rPr>
        <w:t xml:space="preserve">, or that financial disadvantage does not have an impact on </w:t>
      </w:r>
      <w:r>
        <w:rPr>
          <w:lang w:eastAsia="en-US"/>
        </w:rPr>
        <w:t>continuation</w:t>
      </w:r>
      <w:r w:rsidRPr="00036C2F">
        <w:rPr>
          <w:lang w:eastAsia="en-US"/>
        </w:rPr>
        <w:t>.</w:t>
      </w:r>
    </w:p>
    <w:p w14:paraId="0F9ECB9A" w14:textId="77777777" w:rsidR="00F41A24" w:rsidRDefault="00F41A24" w:rsidP="00F41A24">
      <w:pPr>
        <w:spacing w:line="276" w:lineRule="auto"/>
        <w:rPr>
          <w:highlight w:val="magenta"/>
          <w:lang w:eastAsia="en-US"/>
        </w:rPr>
      </w:pPr>
      <w:r>
        <w:rPr>
          <w:lang w:eastAsia="en-US"/>
        </w:rPr>
        <w:lastRenderedPageBreak/>
        <w:t>There were, however, s</w:t>
      </w:r>
      <w:r w:rsidRPr="00036C2F">
        <w:rPr>
          <w:lang w:eastAsia="en-US"/>
        </w:rPr>
        <w:t xml:space="preserve">tatistically significant results observed for </w:t>
      </w:r>
      <w:r>
        <w:rPr>
          <w:lang w:eastAsia="en-US"/>
        </w:rPr>
        <w:t>2</w:t>
      </w:r>
      <w:r w:rsidRPr="00036C2F">
        <w:rPr>
          <w:lang w:eastAsia="en-US"/>
        </w:rPr>
        <w:t xml:space="preserve"> categories</w:t>
      </w:r>
      <w:r>
        <w:rPr>
          <w:lang w:eastAsia="en-US"/>
        </w:rPr>
        <w:t xml:space="preserve"> in household income:</w:t>
      </w:r>
    </w:p>
    <w:p w14:paraId="59F57D6E" w14:textId="77777777" w:rsidR="00F41A24" w:rsidRPr="00036C2F" w:rsidRDefault="00F41A24" w:rsidP="00F41A24">
      <w:pPr>
        <w:pStyle w:val="ListParagraph"/>
        <w:numPr>
          <w:ilvl w:val="0"/>
          <w:numId w:val="36"/>
        </w:numPr>
        <w:spacing w:line="276" w:lineRule="auto"/>
        <w:rPr>
          <w:lang w:eastAsia="en-US"/>
        </w:rPr>
      </w:pPr>
      <w:r w:rsidRPr="00036C2F">
        <w:rPr>
          <w:lang w:eastAsia="en-US"/>
        </w:rPr>
        <w:t xml:space="preserve">Students with a household income of between </w:t>
      </w:r>
      <w:r w:rsidRPr="00036C2F">
        <w:rPr>
          <w:rFonts w:cs="Arial"/>
          <w:color w:val="000000"/>
          <w:szCs w:val="24"/>
        </w:rPr>
        <w:t>£32,001 and £42,737 (inclusive)</w:t>
      </w:r>
      <w:r w:rsidRPr="00036C2F">
        <w:rPr>
          <w:lang w:eastAsia="en-US"/>
        </w:rPr>
        <w:t xml:space="preserve"> can be inferred to have been 0.3% to 6.9% more likely than the </w:t>
      </w:r>
      <w:r w:rsidRPr="003A712E">
        <w:rPr>
          <w:lang w:eastAsia="en-US"/>
        </w:rPr>
        <w:t xml:space="preserve">reference </w:t>
      </w:r>
      <w:r w:rsidRPr="00036C2F">
        <w:rPr>
          <w:lang w:eastAsia="en-US"/>
        </w:rPr>
        <w:t>group to continue into the second year of their course.</w:t>
      </w:r>
    </w:p>
    <w:p w14:paraId="39D9BE6D" w14:textId="77777777" w:rsidR="00F41A24" w:rsidRPr="00036C2F" w:rsidRDefault="00F41A24" w:rsidP="00F41A24">
      <w:pPr>
        <w:pStyle w:val="ListParagraph"/>
        <w:numPr>
          <w:ilvl w:val="0"/>
          <w:numId w:val="36"/>
        </w:numPr>
        <w:spacing w:line="276" w:lineRule="auto"/>
        <w:rPr>
          <w:lang w:eastAsia="en-US"/>
        </w:rPr>
      </w:pPr>
      <w:r w:rsidRPr="00036C2F">
        <w:rPr>
          <w:lang w:eastAsia="en-US"/>
        </w:rPr>
        <w:t xml:space="preserve">Students with a household income greater than £42,737 can be inferred to have been 0.9% to 6.5% more likely than the </w:t>
      </w:r>
      <w:r w:rsidRPr="003A712E">
        <w:rPr>
          <w:lang w:eastAsia="en-US"/>
        </w:rPr>
        <w:t xml:space="preserve">reference </w:t>
      </w:r>
      <w:r w:rsidRPr="00036C2F">
        <w:rPr>
          <w:lang w:eastAsia="en-US"/>
        </w:rPr>
        <w:t>group to continue into the second year of their course.</w:t>
      </w:r>
    </w:p>
    <w:p w14:paraId="716B30CA" w14:textId="77777777" w:rsidR="00F41A24" w:rsidRDefault="00F41A24" w:rsidP="00F41A24">
      <w:pPr>
        <w:spacing w:line="276" w:lineRule="auto"/>
        <w:rPr>
          <w:lang w:eastAsia="en-US"/>
        </w:rPr>
      </w:pPr>
      <w:r w:rsidRPr="00036C2F">
        <w:rPr>
          <w:lang w:eastAsia="en-US"/>
        </w:rPr>
        <w:t>The below table show</w:t>
      </w:r>
      <w:r>
        <w:rPr>
          <w:lang w:eastAsia="en-US"/>
        </w:rPr>
        <w:t>s</w:t>
      </w:r>
      <w:r w:rsidRPr="00036C2F">
        <w:rPr>
          <w:lang w:eastAsia="en-US"/>
        </w:rPr>
        <w:t xml:space="preserve"> the output of the continuation analysis, </w:t>
      </w:r>
      <w:r w:rsidRPr="00036C2F">
        <w:t>with the group eligible to receive the Reading student bursary highlighted in red,</w:t>
      </w:r>
      <w:r w:rsidRPr="00036C2F">
        <w:rPr>
          <w:lang w:eastAsia="en-US"/>
        </w:rPr>
        <w:t xml:space="preserve"> for the household income groups:</w:t>
      </w:r>
    </w:p>
    <w:p w14:paraId="383BA361" w14:textId="77777777" w:rsidR="00F41A24" w:rsidRDefault="00F41A24" w:rsidP="00F41A24">
      <w:pPr>
        <w:spacing w:line="276" w:lineRule="auto"/>
        <w:rPr>
          <w:lang w:eastAsia="en-US"/>
        </w:rPr>
      </w:pPr>
    </w:p>
    <w:p w14:paraId="0C4A5C21" w14:textId="6A65C8DE" w:rsidR="00FE3A85" w:rsidRDefault="00FE3A85" w:rsidP="00F41A24">
      <w:pPr>
        <w:spacing w:line="276" w:lineRule="auto"/>
        <w:rPr>
          <w:rFonts w:cs="Arial"/>
          <w:szCs w:val="24"/>
        </w:rPr>
      </w:pPr>
      <w:r w:rsidRPr="00036C2F">
        <w:rPr>
          <w:rFonts w:cs="Arial"/>
          <w:szCs w:val="24"/>
        </w:rPr>
        <w:t>Between £27,001 and £32,000 (inclusive)</w:t>
      </w:r>
      <w:r>
        <w:rPr>
          <w:rFonts w:cs="Arial"/>
          <w:szCs w:val="24"/>
        </w:rPr>
        <w:t xml:space="preserve"> is the reference group.</w:t>
      </w:r>
    </w:p>
    <w:p w14:paraId="3C284117" w14:textId="77777777" w:rsidR="00FE3A85" w:rsidRPr="00036C2F" w:rsidRDefault="00FE3A85" w:rsidP="00F41A24">
      <w:pPr>
        <w:spacing w:line="276" w:lineRule="auto"/>
        <w:rPr>
          <w:lang w:eastAsia="en-US"/>
        </w:rPr>
      </w:pPr>
    </w:p>
    <w:tbl>
      <w:tblPr>
        <w:tblStyle w:val="UoRTable"/>
        <w:tblW w:w="9640" w:type="dxa"/>
        <w:tblBorders>
          <w:left w:val="single" w:sz="4" w:space="0" w:color="auto"/>
          <w:right w:val="single" w:sz="4" w:space="0" w:color="auto"/>
          <w:insideV w:val="single" w:sz="4" w:space="0" w:color="auto"/>
        </w:tblBorders>
        <w:tblLook w:val="04A0" w:firstRow="1" w:lastRow="0" w:firstColumn="1" w:lastColumn="0" w:noHBand="0" w:noVBand="1"/>
      </w:tblPr>
      <w:tblGrid>
        <w:gridCol w:w="4680"/>
        <w:gridCol w:w="960"/>
        <w:gridCol w:w="960"/>
        <w:gridCol w:w="1035"/>
        <w:gridCol w:w="2005"/>
      </w:tblGrid>
      <w:tr w:rsidR="00F41A24" w:rsidRPr="00036C2F" w14:paraId="376D3E5D" w14:textId="77777777" w:rsidTr="00FE3A85">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680" w:type="dxa"/>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62F78C97" w14:textId="77777777" w:rsidR="00F41A24" w:rsidRPr="00036C2F" w:rsidRDefault="00F41A24" w:rsidP="00372DAE">
            <w:pPr>
              <w:spacing w:before="0" w:line="276" w:lineRule="auto"/>
              <w:rPr>
                <w:rFonts w:cs="Arial"/>
                <w:bCs/>
                <w:szCs w:val="24"/>
              </w:rPr>
            </w:pPr>
            <w:r w:rsidRPr="00036C2F">
              <w:rPr>
                <w:rFonts w:cs="Arial"/>
                <w:bCs/>
                <w:szCs w:val="24"/>
              </w:rPr>
              <w:t>Household Income Group</w:t>
            </w:r>
          </w:p>
        </w:tc>
        <w:tc>
          <w:tcPr>
            <w:tcW w:w="960"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4DD95A37" w14:textId="77777777" w:rsidR="00F41A24" w:rsidRPr="00036C2F" w:rsidRDefault="00F41A2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szCs w:val="24"/>
              </w:rPr>
            </w:pPr>
            <w:r w:rsidRPr="00036C2F">
              <w:rPr>
                <w:rFonts w:cs="Arial"/>
                <w:bCs/>
                <w:szCs w:val="24"/>
              </w:rPr>
              <w:t>B</w:t>
            </w:r>
          </w:p>
        </w:tc>
        <w:tc>
          <w:tcPr>
            <w:tcW w:w="960"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2666D642" w14:textId="77777777" w:rsidR="00F41A24" w:rsidRPr="00036C2F" w:rsidRDefault="00F41A2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szCs w:val="24"/>
              </w:rPr>
            </w:pPr>
            <w:r w:rsidRPr="00036C2F">
              <w:rPr>
                <w:rFonts w:cs="Arial"/>
                <w:bCs/>
                <w:szCs w:val="24"/>
              </w:rPr>
              <w:t>Sig.</w:t>
            </w:r>
          </w:p>
        </w:tc>
        <w:tc>
          <w:tcPr>
            <w:tcW w:w="103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5236797E" w14:textId="77777777" w:rsidR="00F41A24" w:rsidRPr="00036C2F" w:rsidRDefault="00F41A24" w:rsidP="00372DAE">
            <w:pPr>
              <w:spacing w:before="0" w:line="276" w:lineRule="auto"/>
              <w:cnfStyle w:val="100000000000" w:firstRow="1" w:lastRow="0" w:firstColumn="0" w:lastColumn="0" w:oddVBand="0" w:evenVBand="0" w:oddHBand="0" w:evenHBand="0" w:firstRowFirstColumn="0" w:firstRowLastColumn="0" w:lastRowFirstColumn="0" w:lastRowLastColumn="0"/>
              <w:rPr>
                <w:rFonts w:cs="Arial"/>
                <w:bCs/>
                <w:szCs w:val="24"/>
              </w:rPr>
            </w:pPr>
            <w:r w:rsidRPr="00036C2F">
              <w:rPr>
                <w:rFonts w:cs="Arial"/>
                <w:bCs/>
                <w:szCs w:val="24"/>
              </w:rPr>
              <w:t>Exp(B)</w:t>
            </w:r>
          </w:p>
        </w:tc>
        <w:tc>
          <w:tcPr>
            <w:tcW w:w="2005"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0EDFB69C" w14:textId="77777777" w:rsidR="00F41A24" w:rsidRPr="00036C2F" w:rsidRDefault="00F41A24" w:rsidP="00372DAE">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cs="Arial"/>
                <w:bCs/>
                <w:szCs w:val="24"/>
              </w:rPr>
            </w:pPr>
            <w:r w:rsidRPr="00036C2F">
              <w:rPr>
                <w:rFonts w:cs="Arial"/>
                <w:bCs/>
                <w:szCs w:val="24"/>
              </w:rPr>
              <w:t>Relative Likelihood</w:t>
            </w:r>
          </w:p>
        </w:tc>
      </w:tr>
      <w:tr w:rsidR="00F41A24" w:rsidRPr="00036C2F" w14:paraId="001BEF44" w14:textId="77777777" w:rsidTr="00FE3A85">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680" w:type="dxa"/>
            <w:noWrap/>
            <w:hideMark/>
          </w:tcPr>
          <w:p w14:paraId="68E9D2A4" w14:textId="77777777" w:rsidR="00F41A24" w:rsidRPr="00036C2F" w:rsidRDefault="00F41A24" w:rsidP="00372DAE">
            <w:pPr>
              <w:spacing w:before="0" w:line="276" w:lineRule="auto"/>
              <w:rPr>
                <w:rFonts w:cs="Arial"/>
                <w:color w:val="D2002E" w:themeColor="accent1"/>
                <w:szCs w:val="24"/>
              </w:rPr>
            </w:pPr>
            <w:r w:rsidRPr="00036C2F">
              <w:rPr>
                <w:rFonts w:cs="Arial"/>
                <w:color w:val="D2002E" w:themeColor="accent1"/>
                <w:szCs w:val="24"/>
              </w:rPr>
              <w:t>£27,000 or less</w:t>
            </w:r>
          </w:p>
        </w:tc>
        <w:tc>
          <w:tcPr>
            <w:tcW w:w="960" w:type="dxa"/>
            <w:noWrap/>
            <w:hideMark/>
          </w:tcPr>
          <w:p w14:paraId="6D42B9AA"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36C2F">
              <w:rPr>
                <w:rFonts w:cs="Arial"/>
                <w:color w:val="D2002E" w:themeColor="accent1"/>
                <w:szCs w:val="24"/>
              </w:rPr>
              <w:t>0.18</w:t>
            </w:r>
          </w:p>
        </w:tc>
        <w:tc>
          <w:tcPr>
            <w:tcW w:w="960" w:type="dxa"/>
            <w:noWrap/>
            <w:hideMark/>
          </w:tcPr>
          <w:p w14:paraId="33D9A8AB"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36C2F">
              <w:rPr>
                <w:rFonts w:cs="Arial"/>
                <w:color w:val="D2002E" w:themeColor="accent1"/>
                <w:szCs w:val="24"/>
              </w:rPr>
              <w:t>0.34</w:t>
            </w:r>
          </w:p>
        </w:tc>
        <w:tc>
          <w:tcPr>
            <w:tcW w:w="1035" w:type="dxa"/>
            <w:noWrap/>
            <w:hideMark/>
          </w:tcPr>
          <w:p w14:paraId="40286FFA"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36C2F">
              <w:rPr>
                <w:rFonts w:cs="Arial"/>
                <w:color w:val="D2002E" w:themeColor="accent1"/>
                <w:szCs w:val="24"/>
              </w:rPr>
              <w:t>1.20</w:t>
            </w:r>
          </w:p>
        </w:tc>
        <w:tc>
          <w:tcPr>
            <w:tcW w:w="2005" w:type="dxa"/>
            <w:hideMark/>
          </w:tcPr>
          <w:p w14:paraId="6A5CAB13" w14:textId="77777777" w:rsidR="00F41A24" w:rsidRPr="00036C2F" w:rsidRDefault="00F41A24" w:rsidP="00372DAE">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36C2F">
              <w:rPr>
                <w:rFonts w:cs="Arial"/>
                <w:color w:val="D2002E" w:themeColor="accent1"/>
                <w:szCs w:val="24"/>
              </w:rPr>
              <w:t>N/A</w:t>
            </w:r>
          </w:p>
        </w:tc>
      </w:tr>
      <w:tr w:rsidR="00F41A24" w:rsidRPr="00036C2F" w14:paraId="0FD9A776" w14:textId="77777777" w:rsidTr="00FE3A85">
        <w:tblPrEx>
          <w:tblCellMar>
            <w:top w:w="57" w:type="dxa"/>
          </w:tblCellMar>
        </w:tblPrEx>
        <w:trPr>
          <w:trHeight w:val="900"/>
        </w:trPr>
        <w:tc>
          <w:tcPr>
            <w:cnfStyle w:val="001000000000" w:firstRow="0" w:lastRow="0" w:firstColumn="1" w:lastColumn="0" w:oddVBand="0" w:evenVBand="0" w:oddHBand="0" w:evenHBand="0" w:firstRowFirstColumn="0" w:firstRowLastColumn="0" w:lastRowFirstColumn="0" w:lastRowLastColumn="0"/>
            <w:tcW w:w="4680" w:type="dxa"/>
            <w:noWrap/>
            <w:hideMark/>
          </w:tcPr>
          <w:p w14:paraId="4AB6C4BE" w14:textId="77777777" w:rsidR="00F41A24" w:rsidRPr="00036C2F" w:rsidRDefault="00F41A24" w:rsidP="00372DAE">
            <w:pPr>
              <w:spacing w:before="0" w:line="276" w:lineRule="auto"/>
              <w:rPr>
                <w:rFonts w:cs="Arial"/>
                <w:szCs w:val="24"/>
              </w:rPr>
            </w:pPr>
            <w:r w:rsidRPr="00036C2F">
              <w:rPr>
                <w:rFonts w:cs="Arial"/>
                <w:szCs w:val="24"/>
              </w:rPr>
              <w:t>£32,001 and £42,737 (inclusive)</w:t>
            </w:r>
          </w:p>
        </w:tc>
        <w:tc>
          <w:tcPr>
            <w:tcW w:w="960" w:type="dxa"/>
            <w:noWrap/>
            <w:hideMark/>
          </w:tcPr>
          <w:p w14:paraId="60A679F9"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0.48</w:t>
            </w:r>
          </w:p>
        </w:tc>
        <w:tc>
          <w:tcPr>
            <w:tcW w:w="960" w:type="dxa"/>
            <w:noWrap/>
            <w:hideMark/>
          </w:tcPr>
          <w:p w14:paraId="6DA24296"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0.04</w:t>
            </w:r>
          </w:p>
        </w:tc>
        <w:tc>
          <w:tcPr>
            <w:tcW w:w="1035" w:type="dxa"/>
            <w:noWrap/>
            <w:hideMark/>
          </w:tcPr>
          <w:p w14:paraId="04E15B5F"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1.61</w:t>
            </w:r>
          </w:p>
        </w:tc>
        <w:tc>
          <w:tcPr>
            <w:tcW w:w="2005" w:type="dxa"/>
            <w:hideMark/>
          </w:tcPr>
          <w:p w14:paraId="547B0E1F" w14:textId="77777777" w:rsidR="00F41A24" w:rsidRPr="00036C2F" w:rsidRDefault="00F41A24" w:rsidP="00372DAE">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0.3% to 6.9% more likely to continue</w:t>
            </w:r>
          </w:p>
        </w:tc>
      </w:tr>
      <w:tr w:rsidR="00F41A24" w:rsidRPr="00036C2F" w14:paraId="7A959DA0" w14:textId="77777777" w:rsidTr="00FE3A85">
        <w:tblPrEx>
          <w:tblCellMar>
            <w:top w:w="57" w:type="dxa"/>
          </w:tblCellMar>
        </w:tblPrEx>
        <w:trPr>
          <w:trHeight w:val="900"/>
        </w:trPr>
        <w:tc>
          <w:tcPr>
            <w:cnfStyle w:val="001000000000" w:firstRow="0" w:lastRow="0" w:firstColumn="1" w:lastColumn="0" w:oddVBand="0" w:evenVBand="0" w:oddHBand="0" w:evenHBand="0" w:firstRowFirstColumn="0" w:firstRowLastColumn="0" w:lastRowFirstColumn="0" w:lastRowLastColumn="0"/>
            <w:tcW w:w="4680" w:type="dxa"/>
            <w:noWrap/>
            <w:hideMark/>
          </w:tcPr>
          <w:p w14:paraId="2BFA186F" w14:textId="77777777" w:rsidR="00F41A24" w:rsidRPr="00036C2F" w:rsidRDefault="00F41A24" w:rsidP="00372DAE">
            <w:pPr>
              <w:spacing w:before="0" w:line="276" w:lineRule="auto"/>
              <w:rPr>
                <w:rFonts w:cs="Arial"/>
                <w:szCs w:val="24"/>
              </w:rPr>
            </w:pPr>
            <w:r w:rsidRPr="00036C2F">
              <w:rPr>
                <w:rFonts w:cs="Arial"/>
                <w:szCs w:val="24"/>
              </w:rPr>
              <w:t>Greater than £42,737</w:t>
            </w:r>
          </w:p>
        </w:tc>
        <w:tc>
          <w:tcPr>
            <w:tcW w:w="960" w:type="dxa"/>
            <w:noWrap/>
            <w:hideMark/>
          </w:tcPr>
          <w:p w14:paraId="34882780"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0.47</w:t>
            </w:r>
          </w:p>
        </w:tc>
        <w:tc>
          <w:tcPr>
            <w:tcW w:w="960" w:type="dxa"/>
            <w:noWrap/>
            <w:hideMark/>
          </w:tcPr>
          <w:p w14:paraId="666036C9"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0.01</w:t>
            </w:r>
          </w:p>
        </w:tc>
        <w:tc>
          <w:tcPr>
            <w:tcW w:w="1035" w:type="dxa"/>
            <w:noWrap/>
            <w:hideMark/>
          </w:tcPr>
          <w:p w14:paraId="14229C55"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1.60</w:t>
            </w:r>
          </w:p>
        </w:tc>
        <w:tc>
          <w:tcPr>
            <w:tcW w:w="2005" w:type="dxa"/>
            <w:hideMark/>
          </w:tcPr>
          <w:p w14:paraId="0ED41E28" w14:textId="77777777" w:rsidR="00F41A24" w:rsidRPr="00036C2F" w:rsidRDefault="00F41A24" w:rsidP="00372DAE">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0.9% to 6.5% more likely to continue</w:t>
            </w:r>
          </w:p>
        </w:tc>
      </w:tr>
      <w:tr w:rsidR="00F41A24" w:rsidRPr="00036C2F" w14:paraId="56B28357" w14:textId="77777777" w:rsidTr="00FE3A85">
        <w:tblPrEx>
          <w:tblCellMar>
            <w:top w:w="57" w:type="dxa"/>
          </w:tblCellMar>
        </w:tblPrEx>
        <w:trPr>
          <w:trHeight w:val="315"/>
        </w:trPr>
        <w:tc>
          <w:tcPr>
            <w:cnfStyle w:val="001000000000" w:firstRow="0" w:lastRow="0" w:firstColumn="1" w:lastColumn="0" w:oddVBand="0" w:evenVBand="0" w:oddHBand="0" w:evenHBand="0" w:firstRowFirstColumn="0" w:firstRowLastColumn="0" w:lastRowFirstColumn="0" w:lastRowLastColumn="0"/>
            <w:tcW w:w="4680" w:type="dxa"/>
            <w:noWrap/>
            <w:hideMark/>
          </w:tcPr>
          <w:p w14:paraId="58CCECB3" w14:textId="77777777" w:rsidR="00F41A24" w:rsidRPr="00036C2F" w:rsidRDefault="00F41A24" w:rsidP="00372DAE">
            <w:pPr>
              <w:spacing w:before="0" w:line="276" w:lineRule="auto"/>
              <w:rPr>
                <w:rFonts w:cs="Arial"/>
                <w:szCs w:val="24"/>
              </w:rPr>
            </w:pPr>
            <w:r w:rsidRPr="00036C2F">
              <w:rPr>
                <w:rFonts w:cs="Arial"/>
                <w:szCs w:val="24"/>
              </w:rPr>
              <w:t>Unknown (assumed high)</w:t>
            </w:r>
          </w:p>
        </w:tc>
        <w:tc>
          <w:tcPr>
            <w:tcW w:w="960" w:type="dxa"/>
            <w:noWrap/>
            <w:hideMark/>
          </w:tcPr>
          <w:p w14:paraId="48A16652"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0.24</w:t>
            </w:r>
          </w:p>
        </w:tc>
        <w:tc>
          <w:tcPr>
            <w:tcW w:w="960" w:type="dxa"/>
            <w:noWrap/>
            <w:hideMark/>
          </w:tcPr>
          <w:p w14:paraId="72DF22B7"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0.19</w:t>
            </w:r>
          </w:p>
        </w:tc>
        <w:tc>
          <w:tcPr>
            <w:tcW w:w="1035" w:type="dxa"/>
            <w:noWrap/>
            <w:hideMark/>
          </w:tcPr>
          <w:p w14:paraId="7543B8E5" w14:textId="77777777" w:rsidR="00F41A24" w:rsidRPr="00036C2F" w:rsidRDefault="00F41A24" w:rsidP="00372DAE">
            <w:pPr>
              <w:spacing w:before="0" w:line="276" w:lineRule="auto"/>
              <w:jc w:val="right"/>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1.27</w:t>
            </w:r>
          </w:p>
        </w:tc>
        <w:tc>
          <w:tcPr>
            <w:tcW w:w="2005" w:type="dxa"/>
            <w:hideMark/>
          </w:tcPr>
          <w:p w14:paraId="4219111E" w14:textId="77777777" w:rsidR="00F41A24" w:rsidRPr="00036C2F" w:rsidRDefault="00F41A24" w:rsidP="00372DAE">
            <w:pPr>
              <w:spacing w:before="0" w:line="276"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36C2F">
              <w:rPr>
                <w:rFonts w:cs="Arial"/>
                <w:szCs w:val="24"/>
              </w:rPr>
              <w:t>N/A</w:t>
            </w:r>
          </w:p>
        </w:tc>
      </w:tr>
    </w:tbl>
    <w:p w14:paraId="19657979" w14:textId="77777777" w:rsidR="00F41A24" w:rsidRDefault="00F41A24" w:rsidP="00F41A24">
      <w:pPr>
        <w:spacing w:line="276" w:lineRule="auto"/>
        <w:rPr>
          <w:highlight w:val="yellow"/>
          <w:lang w:eastAsia="en-US"/>
        </w:rPr>
      </w:pPr>
    </w:p>
    <w:p w14:paraId="64F1DAC4" w14:textId="77777777" w:rsidR="00F41A24" w:rsidRPr="00D314E1" w:rsidRDefault="00F41A24" w:rsidP="00F41A24">
      <w:pPr>
        <w:pStyle w:val="Heading3"/>
        <w:spacing w:line="276" w:lineRule="auto"/>
      </w:pPr>
      <w:bookmarkStart w:id="25" w:name="_Toc225952939"/>
      <w:r w:rsidRPr="00D314E1">
        <w:t>Completion</w:t>
      </w:r>
      <w:bookmarkEnd w:id="25"/>
    </w:p>
    <w:p w14:paraId="2D6279CE" w14:textId="77777777" w:rsidR="00F41A24" w:rsidRDefault="00F41A24" w:rsidP="00F41A24">
      <w:pPr>
        <w:spacing w:line="276" w:lineRule="auto"/>
        <w:rPr>
          <w:lang w:eastAsia="en-US"/>
        </w:rPr>
      </w:pPr>
      <w:r w:rsidRPr="00D314E1">
        <w:rPr>
          <w:lang w:eastAsia="en-US"/>
        </w:rPr>
        <w:t xml:space="preserve">There were no statistically significant differences observed between bursary-eligible students and those in the reference group. This indicates that the financial support provided by the University is effective in improving </w:t>
      </w:r>
      <w:r>
        <w:rPr>
          <w:lang w:eastAsia="en-US"/>
        </w:rPr>
        <w:t>completion</w:t>
      </w:r>
      <w:r w:rsidRPr="00D314E1">
        <w:rPr>
          <w:lang w:eastAsia="en-US"/>
        </w:rPr>
        <w:t xml:space="preserve">, or that financial disadvantage does not have an impact on </w:t>
      </w:r>
      <w:r>
        <w:rPr>
          <w:lang w:eastAsia="en-US"/>
        </w:rPr>
        <w:t>completion</w:t>
      </w:r>
      <w:r w:rsidRPr="00D314E1">
        <w:rPr>
          <w:lang w:eastAsia="en-US"/>
        </w:rPr>
        <w:t>.</w:t>
      </w:r>
    </w:p>
    <w:p w14:paraId="35E79D31" w14:textId="77777777" w:rsidR="00F41A24" w:rsidRPr="00297549" w:rsidRDefault="00F41A24" w:rsidP="00F41A24">
      <w:pPr>
        <w:spacing w:line="276" w:lineRule="auto"/>
        <w:rPr>
          <w:lang w:eastAsia="en-US"/>
        </w:rPr>
      </w:pPr>
      <w:r w:rsidRPr="00297549">
        <w:rPr>
          <w:lang w:eastAsia="en-US"/>
        </w:rPr>
        <w:t>There were no statistically significant results observed for any other categories in household income.</w:t>
      </w:r>
    </w:p>
    <w:p w14:paraId="118633F9" w14:textId="77777777" w:rsidR="00F41A24" w:rsidRDefault="00F41A24" w:rsidP="00F41A24">
      <w:pPr>
        <w:spacing w:line="276" w:lineRule="auto"/>
        <w:rPr>
          <w:lang w:eastAsia="en-US"/>
        </w:rPr>
      </w:pPr>
      <w:r w:rsidRPr="00036C2F">
        <w:rPr>
          <w:lang w:eastAsia="en-US"/>
        </w:rPr>
        <w:t>The below table show</w:t>
      </w:r>
      <w:r>
        <w:rPr>
          <w:lang w:eastAsia="en-US"/>
        </w:rPr>
        <w:t>s</w:t>
      </w:r>
      <w:r w:rsidRPr="00036C2F">
        <w:rPr>
          <w:lang w:eastAsia="en-US"/>
        </w:rPr>
        <w:t xml:space="preserve"> the output of the </w:t>
      </w:r>
      <w:r>
        <w:rPr>
          <w:lang w:eastAsia="en-US"/>
        </w:rPr>
        <w:t>completion</w:t>
      </w:r>
      <w:r w:rsidRPr="00036C2F">
        <w:rPr>
          <w:lang w:eastAsia="en-US"/>
        </w:rPr>
        <w:t xml:space="preserve"> analysis, </w:t>
      </w:r>
      <w:r w:rsidRPr="00036C2F">
        <w:t>with the group eligible to receive the Reading student bursary highlighted in red,</w:t>
      </w:r>
      <w:r w:rsidRPr="00036C2F">
        <w:rPr>
          <w:lang w:eastAsia="en-US"/>
        </w:rPr>
        <w:t xml:space="preserve"> for the household income groups:</w:t>
      </w:r>
    </w:p>
    <w:p w14:paraId="6484A2C2" w14:textId="77777777" w:rsidR="00F41A24" w:rsidRDefault="00F41A24" w:rsidP="00F41A24">
      <w:pPr>
        <w:spacing w:before="0" w:line="276" w:lineRule="auto"/>
        <w:rPr>
          <w:highlight w:val="yellow"/>
          <w:lang w:eastAsia="en-US"/>
        </w:rPr>
      </w:pPr>
    </w:p>
    <w:p w14:paraId="3BB299F2" w14:textId="77777777" w:rsidR="00FE3A85" w:rsidRDefault="00FE3A85" w:rsidP="00FE3A85">
      <w:pPr>
        <w:spacing w:line="276" w:lineRule="auto"/>
        <w:rPr>
          <w:rFonts w:cs="Arial"/>
          <w:szCs w:val="24"/>
        </w:rPr>
      </w:pPr>
      <w:r w:rsidRPr="00036C2F">
        <w:rPr>
          <w:rFonts w:cs="Arial"/>
          <w:szCs w:val="24"/>
        </w:rPr>
        <w:t>Between £27,001 and £32,000 (inclusive)</w:t>
      </w:r>
      <w:r>
        <w:rPr>
          <w:rFonts w:cs="Arial"/>
          <w:szCs w:val="24"/>
        </w:rPr>
        <w:t xml:space="preserve"> is the reference group.</w:t>
      </w:r>
    </w:p>
    <w:p w14:paraId="40E8BD4A" w14:textId="77777777" w:rsidR="00FE3A85" w:rsidRDefault="00FE3A85" w:rsidP="00F41A24">
      <w:pPr>
        <w:spacing w:before="0" w:line="276" w:lineRule="auto"/>
        <w:rPr>
          <w:highlight w:val="yellow"/>
          <w:lang w:eastAsia="en-US"/>
        </w:rPr>
      </w:pPr>
    </w:p>
    <w:tbl>
      <w:tblPr>
        <w:tblStyle w:val="UoRTable"/>
        <w:tblW w:w="8807" w:type="dxa"/>
        <w:tblLook w:val="04A0" w:firstRow="1" w:lastRow="0" w:firstColumn="1" w:lastColumn="0" w:noHBand="0" w:noVBand="1"/>
      </w:tblPr>
      <w:tblGrid>
        <w:gridCol w:w="4536"/>
        <w:gridCol w:w="833"/>
        <w:gridCol w:w="702"/>
        <w:gridCol w:w="1035"/>
        <w:gridCol w:w="1701"/>
      </w:tblGrid>
      <w:tr w:rsidR="00F41A24" w:rsidRPr="00D314E1" w14:paraId="10254EA3" w14:textId="77777777" w:rsidTr="00372DAE">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536" w:type="dxa"/>
            <w:noWrap/>
            <w:hideMark/>
          </w:tcPr>
          <w:p w14:paraId="4F64DB5F" w14:textId="77777777" w:rsidR="00F41A24" w:rsidRPr="00D314E1" w:rsidRDefault="00F41A24" w:rsidP="00372DAE">
            <w:pPr>
              <w:spacing w:before="0" w:line="240" w:lineRule="auto"/>
              <w:rPr>
                <w:rFonts w:cs="Arial"/>
                <w:color w:val="FFFFFF" w:themeColor="background1"/>
                <w:szCs w:val="24"/>
              </w:rPr>
            </w:pPr>
            <w:r w:rsidRPr="00D314E1">
              <w:rPr>
                <w:rFonts w:cs="Arial"/>
                <w:color w:val="FFFFFF" w:themeColor="background1"/>
                <w:szCs w:val="24"/>
              </w:rPr>
              <w:lastRenderedPageBreak/>
              <w:t>Household Income Group</w:t>
            </w:r>
          </w:p>
        </w:tc>
        <w:tc>
          <w:tcPr>
            <w:tcW w:w="833" w:type="dxa"/>
            <w:hideMark/>
          </w:tcPr>
          <w:p w14:paraId="6B409EC1" w14:textId="77777777" w:rsidR="00F41A24" w:rsidRPr="00D314E1" w:rsidRDefault="00F41A24" w:rsidP="00372DAE">
            <w:pPr>
              <w:spacing w:before="0"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D314E1">
              <w:rPr>
                <w:rFonts w:cs="Arial"/>
                <w:color w:val="FFFFFF" w:themeColor="background1"/>
                <w:szCs w:val="24"/>
              </w:rPr>
              <w:t>B</w:t>
            </w:r>
          </w:p>
        </w:tc>
        <w:tc>
          <w:tcPr>
            <w:tcW w:w="702" w:type="dxa"/>
            <w:hideMark/>
          </w:tcPr>
          <w:p w14:paraId="29174AC0" w14:textId="77777777" w:rsidR="00F41A24" w:rsidRPr="00D314E1" w:rsidRDefault="00F41A24" w:rsidP="00372DAE">
            <w:pPr>
              <w:spacing w:before="0"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D314E1">
              <w:rPr>
                <w:rFonts w:cs="Arial"/>
                <w:color w:val="FFFFFF" w:themeColor="background1"/>
                <w:szCs w:val="24"/>
              </w:rPr>
              <w:t>Sig.</w:t>
            </w:r>
          </w:p>
        </w:tc>
        <w:tc>
          <w:tcPr>
            <w:tcW w:w="1035" w:type="dxa"/>
            <w:hideMark/>
          </w:tcPr>
          <w:p w14:paraId="7D9B6C4E" w14:textId="77777777" w:rsidR="00F41A24" w:rsidRPr="00D314E1" w:rsidRDefault="00F41A24" w:rsidP="00372DAE">
            <w:pPr>
              <w:spacing w:before="0"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D314E1">
              <w:rPr>
                <w:rFonts w:cs="Arial"/>
                <w:color w:val="FFFFFF" w:themeColor="background1"/>
                <w:szCs w:val="24"/>
              </w:rPr>
              <w:t>Exp(B)</w:t>
            </w:r>
          </w:p>
        </w:tc>
        <w:tc>
          <w:tcPr>
            <w:tcW w:w="1701" w:type="dxa"/>
            <w:hideMark/>
          </w:tcPr>
          <w:p w14:paraId="4E96F441" w14:textId="77777777" w:rsidR="00F41A24" w:rsidRPr="00D314E1" w:rsidRDefault="00F41A24" w:rsidP="00372DA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D314E1">
              <w:rPr>
                <w:rFonts w:cs="Arial"/>
                <w:color w:val="FFFFFF" w:themeColor="background1"/>
                <w:szCs w:val="24"/>
              </w:rPr>
              <w:t>Relative Likelihood</w:t>
            </w:r>
          </w:p>
        </w:tc>
      </w:tr>
      <w:tr w:rsidR="00F41A24" w:rsidRPr="00D314E1" w14:paraId="06A2DA4E" w14:textId="77777777" w:rsidTr="00372DAE">
        <w:tblPrEx>
          <w:tblCellMar>
            <w:top w:w="57" w:type="dxa"/>
          </w:tblCellMar>
        </w:tblPrEx>
        <w:trPr>
          <w:trHeight w:val="402"/>
        </w:trPr>
        <w:tc>
          <w:tcPr>
            <w:cnfStyle w:val="001000000000" w:firstRow="0" w:lastRow="0" w:firstColumn="1" w:lastColumn="0" w:oddVBand="0" w:evenVBand="0" w:oddHBand="0" w:evenHBand="0" w:firstRowFirstColumn="0" w:firstRowLastColumn="0" w:lastRowFirstColumn="0" w:lastRowLastColumn="0"/>
            <w:tcW w:w="4536" w:type="dxa"/>
            <w:hideMark/>
          </w:tcPr>
          <w:p w14:paraId="5917A836" w14:textId="77777777" w:rsidR="00F41A24" w:rsidRPr="00D314E1" w:rsidRDefault="00F41A24" w:rsidP="00372DAE">
            <w:pPr>
              <w:spacing w:before="0" w:line="240" w:lineRule="auto"/>
              <w:rPr>
                <w:rFonts w:cs="Arial"/>
                <w:color w:val="D2002E" w:themeColor="accent1"/>
                <w:szCs w:val="24"/>
              </w:rPr>
            </w:pPr>
            <w:r w:rsidRPr="00D314E1">
              <w:rPr>
                <w:rFonts w:cs="Arial"/>
                <w:color w:val="D2002E" w:themeColor="accent1"/>
                <w:szCs w:val="24"/>
              </w:rPr>
              <w:t>£27,000 or less</w:t>
            </w:r>
          </w:p>
        </w:tc>
        <w:tc>
          <w:tcPr>
            <w:tcW w:w="833" w:type="dxa"/>
            <w:noWrap/>
            <w:hideMark/>
          </w:tcPr>
          <w:p w14:paraId="7B9D0511"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D314E1">
              <w:rPr>
                <w:rFonts w:cs="Arial"/>
                <w:color w:val="D2002E" w:themeColor="accent1"/>
                <w:szCs w:val="24"/>
              </w:rPr>
              <w:t>-0.01</w:t>
            </w:r>
          </w:p>
        </w:tc>
        <w:tc>
          <w:tcPr>
            <w:tcW w:w="702" w:type="dxa"/>
            <w:noWrap/>
            <w:hideMark/>
          </w:tcPr>
          <w:p w14:paraId="51D85B21"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D314E1">
              <w:rPr>
                <w:rFonts w:cs="Arial"/>
                <w:color w:val="D2002E" w:themeColor="accent1"/>
                <w:szCs w:val="24"/>
              </w:rPr>
              <w:t>0.97</w:t>
            </w:r>
          </w:p>
        </w:tc>
        <w:tc>
          <w:tcPr>
            <w:tcW w:w="1035" w:type="dxa"/>
            <w:noWrap/>
            <w:hideMark/>
          </w:tcPr>
          <w:p w14:paraId="742CE7DD"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D314E1">
              <w:rPr>
                <w:rFonts w:cs="Arial"/>
                <w:color w:val="D2002E" w:themeColor="accent1"/>
                <w:szCs w:val="24"/>
              </w:rPr>
              <w:t>0.99</w:t>
            </w:r>
          </w:p>
        </w:tc>
        <w:tc>
          <w:tcPr>
            <w:tcW w:w="1701" w:type="dxa"/>
            <w:hideMark/>
          </w:tcPr>
          <w:p w14:paraId="79C7F22E"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D314E1">
              <w:rPr>
                <w:rFonts w:cs="Arial"/>
                <w:color w:val="D2002E" w:themeColor="accent1"/>
                <w:szCs w:val="24"/>
              </w:rPr>
              <w:t>N/A</w:t>
            </w:r>
          </w:p>
        </w:tc>
      </w:tr>
      <w:tr w:rsidR="00F41A24" w:rsidRPr="00D314E1" w14:paraId="6E21B77B" w14:textId="77777777" w:rsidTr="00372DAE">
        <w:tblPrEx>
          <w:tblCellMar>
            <w:top w:w="57" w:type="dxa"/>
          </w:tblCellMar>
        </w:tblPrEx>
        <w:trPr>
          <w:trHeight w:val="402"/>
        </w:trPr>
        <w:tc>
          <w:tcPr>
            <w:cnfStyle w:val="001000000000" w:firstRow="0" w:lastRow="0" w:firstColumn="1" w:lastColumn="0" w:oddVBand="0" w:evenVBand="0" w:oddHBand="0" w:evenHBand="0" w:firstRowFirstColumn="0" w:firstRowLastColumn="0" w:lastRowFirstColumn="0" w:lastRowLastColumn="0"/>
            <w:tcW w:w="4536" w:type="dxa"/>
            <w:hideMark/>
          </w:tcPr>
          <w:p w14:paraId="309DA519" w14:textId="77777777" w:rsidR="00F41A24" w:rsidRPr="00D314E1" w:rsidRDefault="00F41A24" w:rsidP="00372DAE">
            <w:pPr>
              <w:spacing w:before="0" w:line="240" w:lineRule="auto"/>
              <w:rPr>
                <w:rFonts w:cs="Arial"/>
                <w:szCs w:val="24"/>
              </w:rPr>
            </w:pPr>
            <w:r w:rsidRPr="00D314E1">
              <w:rPr>
                <w:rFonts w:cs="Arial"/>
                <w:szCs w:val="24"/>
              </w:rPr>
              <w:t>£32,001 and £42,737 (inclusive)</w:t>
            </w:r>
          </w:p>
        </w:tc>
        <w:tc>
          <w:tcPr>
            <w:tcW w:w="833" w:type="dxa"/>
            <w:noWrap/>
            <w:hideMark/>
          </w:tcPr>
          <w:p w14:paraId="2AD383DA"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0.22</w:t>
            </w:r>
          </w:p>
        </w:tc>
        <w:tc>
          <w:tcPr>
            <w:tcW w:w="702" w:type="dxa"/>
            <w:noWrap/>
            <w:hideMark/>
          </w:tcPr>
          <w:p w14:paraId="0F761EE3"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0.25</w:t>
            </w:r>
          </w:p>
        </w:tc>
        <w:tc>
          <w:tcPr>
            <w:tcW w:w="1035" w:type="dxa"/>
            <w:noWrap/>
            <w:hideMark/>
          </w:tcPr>
          <w:p w14:paraId="418B9207"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1.24</w:t>
            </w:r>
          </w:p>
        </w:tc>
        <w:tc>
          <w:tcPr>
            <w:tcW w:w="1701" w:type="dxa"/>
            <w:hideMark/>
          </w:tcPr>
          <w:p w14:paraId="226DECCA"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N/A</w:t>
            </w:r>
          </w:p>
        </w:tc>
      </w:tr>
      <w:tr w:rsidR="00F41A24" w:rsidRPr="00D314E1" w14:paraId="728CCAA7" w14:textId="77777777" w:rsidTr="00372DAE">
        <w:tblPrEx>
          <w:tblCellMar>
            <w:top w:w="57" w:type="dxa"/>
          </w:tblCellMar>
        </w:tblPrEx>
        <w:trPr>
          <w:trHeight w:val="402"/>
        </w:trPr>
        <w:tc>
          <w:tcPr>
            <w:cnfStyle w:val="001000000000" w:firstRow="0" w:lastRow="0" w:firstColumn="1" w:lastColumn="0" w:oddVBand="0" w:evenVBand="0" w:oddHBand="0" w:evenHBand="0" w:firstRowFirstColumn="0" w:firstRowLastColumn="0" w:lastRowFirstColumn="0" w:lastRowLastColumn="0"/>
            <w:tcW w:w="4536" w:type="dxa"/>
            <w:hideMark/>
          </w:tcPr>
          <w:p w14:paraId="1E88C912" w14:textId="77777777" w:rsidR="00F41A24" w:rsidRPr="00D314E1" w:rsidRDefault="00F41A24" w:rsidP="00372DAE">
            <w:pPr>
              <w:spacing w:before="0" w:line="240" w:lineRule="auto"/>
              <w:rPr>
                <w:rFonts w:cs="Arial"/>
                <w:szCs w:val="24"/>
              </w:rPr>
            </w:pPr>
            <w:r w:rsidRPr="00D314E1">
              <w:rPr>
                <w:rFonts w:cs="Arial"/>
                <w:szCs w:val="24"/>
              </w:rPr>
              <w:t>Greater than £42,737</w:t>
            </w:r>
          </w:p>
        </w:tc>
        <w:tc>
          <w:tcPr>
            <w:tcW w:w="833" w:type="dxa"/>
            <w:noWrap/>
            <w:hideMark/>
          </w:tcPr>
          <w:p w14:paraId="009673DC"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0.32</w:t>
            </w:r>
          </w:p>
        </w:tc>
        <w:tc>
          <w:tcPr>
            <w:tcW w:w="702" w:type="dxa"/>
            <w:noWrap/>
            <w:hideMark/>
          </w:tcPr>
          <w:p w14:paraId="26E77ADE"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0.06</w:t>
            </w:r>
          </w:p>
        </w:tc>
        <w:tc>
          <w:tcPr>
            <w:tcW w:w="1035" w:type="dxa"/>
            <w:noWrap/>
            <w:hideMark/>
          </w:tcPr>
          <w:p w14:paraId="1961561E"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1.37</w:t>
            </w:r>
          </w:p>
        </w:tc>
        <w:tc>
          <w:tcPr>
            <w:tcW w:w="1701" w:type="dxa"/>
            <w:hideMark/>
          </w:tcPr>
          <w:p w14:paraId="4631761B"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N/A</w:t>
            </w:r>
          </w:p>
        </w:tc>
      </w:tr>
      <w:tr w:rsidR="00F41A24" w:rsidRPr="00D314E1" w14:paraId="4D500217" w14:textId="77777777" w:rsidTr="00372DAE">
        <w:tblPrEx>
          <w:tblCellMar>
            <w:top w:w="57" w:type="dxa"/>
          </w:tblCellMar>
        </w:tblPrEx>
        <w:trPr>
          <w:trHeight w:val="402"/>
        </w:trPr>
        <w:tc>
          <w:tcPr>
            <w:cnfStyle w:val="001000000000" w:firstRow="0" w:lastRow="0" w:firstColumn="1" w:lastColumn="0" w:oddVBand="0" w:evenVBand="0" w:oddHBand="0" w:evenHBand="0" w:firstRowFirstColumn="0" w:firstRowLastColumn="0" w:lastRowFirstColumn="0" w:lastRowLastColumn="0"/>
            <w:tcW w:w="4536" w:type="dxa"/>
            <w:hideMark/>
          </w:tcPr>
          <w:p w14:paraId="1E474CED" w14:textId="77777777" w:rsidR="00F41A24" w:rsidRPr="00D314E1" w:rsidRDefault="00F41A24" w:rsidP="00372DAE">
            <w:pPr>
              <w:spacing w:before="0" w:line="240" w:lineRule="auto"/>
              <w:rPr>
                <w:rFonts w:cs="Arial"/>
                <w:szCs w:val="24"/>
              </w:rPr>
            </w:pPr>
            <w:r w:rsidRPr="00D314E1">
              <w:rPr>
                <w:rFonts w:cs="Arial"/>
                <w:szCs w:val="24"/>
              </w:rPr>
              <w:t>Unknown (assumed high)</w:t>
            </w:r>
          </w:p>
        </w:tc>
        <w:tc>
          <w:tcPr>
            <w:tcW w:w="833" w:type="dxa"/>
            <w:noWrap/>
            <w:hideMark/>
          </w:tcPr>
          <w:p w14:paraId="305ED513"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0.29</w:t>
            </w:r>
          </w:p>
        </w:tc>
        <w:tc>
          <w:tcPr>
            <w:tcW w:w="702" w:type="dxa"/>
            <w:noWrap/>
            <w:hideMark/>
          </w:tcPr>
          <w:p w14:paraId="4120FD7D"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0.07</w:t>
            </w:r>
          </w:p>
        </w:tc>
        <w:tc>
          <w:tcPr>
            <w:tcW w:w="1035" w:type="dxa"/>
            <w:noWrap/>
            <w:hideMark/>
          </w:tcPr>
          <w:p w14:paraId="29A9781B"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1.34</w:t>
            </w:r>
          </w:p>
        </w:tc>
        <w:tc>
          <w:tcPr>
            <w:tcW w:w="1701" w:type="dxa"/>
            <w:hideMark/>
          </w:tcPr>
          <w:p w14:paraId="65717986" w14:textId="77777777" w:rsidR="00F41A24" w:rsidRPr="00D314E1"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D314E1">
              <w:rPr>
                <w:rFonts w:cs="Arial"/>
                <w:szCs w:val="24"/>
              </w:rPr>
              <w:t>N/A</w:t>
            </w:r>
          </w:p>
        </w:tc>
      </w:tr>
    </w:tbl>
    <w:p w14:paraId="116D023A" w14:textId="77777777" w:rsidR="00F41A24" w:rsidRPr="00827756" w:rsidRDefault="00F41A24" w:rsidP="00F41A24">
      <w:pPr>
        <w:spacing w:before="0" w:line="276" w:lineRule="auto"/>
        <w:rPr>
          <w:highlight w:val="yellow"/>
          <w:lang w:eastAsia="en-US"/>
        </w:rPr>
      </w:pPr>
    </w:p>
    <w:p w14:paraId="1DFB24B1" w14:textId="77777777" w:rsidR="00F41A24" w:rsidRPr="00000DFD" w:rsidRDefault="00F41A24" w:rsidP="00F41A24">
      <w:pPr>
        <w:pStyle w:val="Heading3"/>
        <w:spacing w:line="276" w:lineRule="auto"/>
      </w:pPr>
      <w:bookmarkStart w:id="26" w:name="_Toc225952940"/>
      <w:r w:rsidRPr="00000DFD">
        <w:t>Attainment</w:t>
      </w:r>
      <w:bookmarkEnd w:id="26"/>
    </w:p>
    <w:p w14:paraId="46BB67ED" w14:textId="77777777" w:rsidR="00F41A24" w:rsidRPr="00000DFD" w:rsidRDefault="00F41A24" w:rsidP="00F41A24">
      <w:pPr>
        <w:spacing w:line="276" w:lineRule="auto"/>
        <w:rPr>
          <w:lang w:eastAsia="en-US"/>
        </w:rPr>
      </w:pPr>
      <w:r w:rsidRPr="00000DFD">
        <w:rPr>
          <w:lang w:eastAsia="en-US"/>
        </w:rPr>
        <w:t xml:space="preserve">There were no statistically significant differences observed between bursary-eligible students and those in the reference group. This indicates that the financial support provided by the University is effective in improving </w:t>
      </w:r>
      <w:r>
        <w:rPr>
          <w:lang w:eastAsia="en-US"/>
        </w:rPr>
        <w:t>attainment</w:t>
      </w:r>
      <w:r w:rsidRPr="00000DFD">
        <w:rPr>
          <w:lang w:eastAsia="en-US"/>
        </w:rPr>
        <w:t>, or that financial disadvantage does not have an impact on attainment.</w:t>
      </w:r>
    </w:p>
    <w:p w14:paraId="1E8ECFD5" w14:textId="77777777" w:rsidR="00F41A24" w:rsidRPr="00000DFD" w:rsidRDefault="00F41A24" w:rsidP="00F41A24">
      <w:pPr>
        <w:spacing w:line="276" w:lineRule="auto"/>
        <w:rPr>
          <w:lang w:eastAsia="en-US"/>
        </w:rPr>
      </w:pPr>
      <w:r w:rsidRPr="00000DFD">
        <w:rPr>
          <w:lang w:eastAsia="en-US"/>
        </w:rPr>
        <w:t>There were, however, statistically significant results for students with an unknown household income (assumed high</w:t>
      </w:r>
      <w:r w:rsidRPr="00000DFD">
        <w:rPr>
          <w:rFonts w:cs="Arial"/>
          <w:color w:val="000000"/>
          <w:szCs w:val="24"/>
        </w:rPr>
        <w:t>) who</w:t>
      </w:r>
      <w:r w:rsidRPr="00000DFD">
        <w:rPr>
          <w:lang w:eastAsia="en-US"/>
        </w:rPr>
        <w:t xml:space="preserve"> can be inferred to have been 1.7% to 14.6% more likely than the reference group to attain a good degree than those in the reference group. </w:t>
      </w:r>
    </w:p>
    <w:p w14:paraId="67C7E4F6" w14:textId="77777777" w:rsidR="00F41A24" w:rsidRDefault="00F41A24" w:rsidP="00F41A24">
      <w:pPr>
        <w:spacing w:line="276" w:lineRule="auto"/>
        <w:rPr>
          <w:lang w:eastAsia="en-US"/>
        </w:rPr>
      </w:pPr>
      <w:r w:rsidRPr="00000DFD">
        <w:rPr>
          <w:lang w:eastAsia="en-US"/>
        </w:rPr>
        <w:t xml:space="preserve">The below table shows the output of the </w:t>
      </w:r>
      <w:r>
        <w:rPr>
          <w:lang w:eastAsia="en-US"/>
        </w:rPr>
        <w:t>attainment</w:t>
      </w:r>
      <w:r w:rsidRPr="00000DFD">
        <w:rPr>
          <w:lang w:eastAsia="en-US"/>
        </w:rPr>
        <w:t xml:space="preserve"> analysis, </w:t>
      </w:r>
      <w:r w:rsidRPr="00000DFD">
        <w:t>with the group eligible to receive the Reading student bursary highlighted in red,</w:t>
      </w:r>
      <w:r w:rsidRPr="00000DFD">
        <w:rPr>
          <w:lang w:eastAsia="en-US"/>
        </w:rPr>
        <w:t xml:space="preserve"> for the household income groups:</w:t>
      </w:r>
    </w:p>
    <w:p w14:paraId="335C1B22" w14:textId="2CEF250D" w:rsidR="00FE3A85" w:rsidRPr="00FE3A85" w:rsidRDefault="00FE3A85" w:rsidP="00F41A24">
      <w:pPr>
        <w:spacing w:line="276" w:lineRule="auto"/>
        <w:rPr>
          <w:rFonts w:cs="Arial"/>
          <w:szCs w:val="24"/>
        </w:rPr>
      </w:pPr>
      <w:r w:rsidRPr="00036C2F">
        <w:rPr>
          <w:rFonts w:cs="Arial"/>
          <w:szCs w:val="24"/>
        </w:rPr>
        <w:t>Between £27,001 and £32,000 (inclusive)</w:t>
      </w:r>
      <w:r>
        <w:rPr>
          <w:rFonts w:cs="Arial"/>
          <w:szCs w:val="24"/>
        </w:rPr>
        <w:t xml:space="preserve"> is the reference group.</w:t>
      </w:r>
    </w:p>
    <w:tbl>
      <w:tblPr>
        <w:tblStyle w:val="UoRTable"/>
        <w:tblW w:w="8956" w:type="dxa"/>
        <w:tblLook w:val="04A0" w:firstRow="1" w:lastRow="0" w:firstColumn="1" w:lastColumn="0" w:noHBand="0" w:noVBand="1"/>
      </w:tblPr>
      <w:tblGrid>
        <w:gridCol w:w="4300"/>
        <w:gridCol w:w="960"/>
        <w:gridCol w:w="960"/>
        <w:gridCol w:w="1035"/>
        <w:gridCol w:w="1701"/>
      </w:tblGrid>
      <w:tr w:rsidR="00F41A24" w:rsidRPr="00000DFD" w14:paraId="4D509DC2" w14:textId="77777777" w:rsidTr="00FE3A8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300" w:type="dxa"/>
            <w:noWrap/>
            <w:hideMark/>
          </w:tcPr>
          <w:p w14:paraId="7AA78F40" w14:textId="77777777" w:rsidR="00F41A24" w:rsidRPr="00000DFD" w:rsidRDefault="00F41A24" w:rsidP="00372DAE">
            <w:pPr>
              <w:spacing w:before="0" w:line="240" w:lineRule="auto"/>
              <w:rPr>
                <w:rFonts w:cs="Arial"/>
                <w:bCs/>
                <w:szCs w:val="24"/>
              </w:rPr>
            </w:pPr>
            <w:r w:rsidRPr="00000DFD">
              <w:rPr>
                <w:rFonts w:cs="Arial"/>
                <w:bCs/>
                <w:szCs w:val="24"/>
              </w:rPr>
              <w:t>Household Income Group</w:t>
            </w:r>
          </w:p>
        </w:tc>
        <w:tc>
          <w:tcPr>
            <w:tcW w:w="960" w:type="dxa"/>
            <w:hideMark/>
          </w:tcPr>
          <w:p w14:paraId="092F7AF2" w14:textId="77777777" w:rsidR="00F41A24" w:rsidRPr="00000DFD" w:rsidRDefault="00F41A24" w:rsidP="00372DA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bCs/>
                <w:szCs w:val="24"/>
              </w:rPr>
            </w:pPr>
            <w:r w:rsidRPr="00000DFD">
              <w:rPr>
                <w:rFonts w:cs="Arial"/>
                <w:bCs/>
                <w:szCs w:val="24"/>
              </w:rPr>
              <w:t>B</w:t>
            </w:r>
          </w:p>
        </w:tc>
        <w:tc>
          <w:tcPr>
            <w:tcW w:w="960" w:type="dxa"/>
            <w:hideMark/>
          </w:tcPr>
          <w:p w14:paraId="7D8C5094" w14:textId="77777777" w:rsidR="00F41A24" w:rsidRPr="00000DFD" w:rsidRDefault="00F41A24" w:rsidP="00372DA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bCs/>
                <w:szCs w:val="24"/>
              </w:rPr>
            </w:pPr>
            <w:r w:rsidRPr="00000DFD">
              <w:rPr>
                <w:rFonts w:cs="Arial"/>
                <w:bCs/>
                <w:szCs w:val="24"/>
              </w:rPr>
              <w:t>Sig.</w:t>
            </w:r>
          </w:p>
        </w:tc>
        <w:tc>
          <w:tcPr>
            <w:tcW w:w="1035" w:type="dxa"/>
            <w:hideMark/>
          </w:tcPr>
          <w:p w14:paraId="0AFC4697" w14:textId="77777777" w:rsidR="00F41A24" w:rsidRPr="00000DFD" w:rsidRDefault="00F41A24" w:rsidP="00372DA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bCs/>
                <w:szCs w:val="24"/>
              </w:rPr>
            </w:pPr>
            <w:r w:rsidRPr="00000DFD">
              <w:rPr>
                <w:rFonts w:cs="Arial"/>
                <w:bCs/>
                <w:szCs w:val="24"/>
              </w:rPr>
              <w:t>Exp(B)</w:t>
            </w:r>
          </w:p>
        </w:tc>
        <w:tc>
          <w:tcPr>
            <w:tcW w:w="1701" w:type="dxa"/>
            <w:hideMark/>
          </w:tcPr>
          <w:p w14:paraId="0B2CB60C" w14:textId="77777777" w:rsidR="00F41A24" w:rsidRPr="00000DFD" w:rsidRDefault="00F41A24" w:rsidP="00372DAE">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bCs/>
                <w:szCs w:val="24"/>
              </w:rPr>
            </w:pPr>
            <w:r w:rsidRPr="00000DFD">
              <w:rPr>
                <w:rFonts w:cs="Arial"/>
                <w:bCs/>
                <w:szCs w:val="24"/>
              </w:rPr>
              <w:t>Relative Likelihood</w:t>
            </w:r>
          </w:p>
        </w:tc>
      </w:tr>
      <w:tr w:rsidR="00F41A24" w:rsidRPr="00000DFD" w14:paraId="19CA1313" w14:textId="77777777" w:rsidTr="00FE3A85">
        <w:tblPrEx>
          <w:tblCellMar>
            <w:top w:w="57" w:type="dxa"/>
          </w:tblCellMar>
        </w:tblPrEx>
        <w:trPr>
          <w:trHeight w:val="402"/>
        </w:trPr>
        <w:tc>
          <w:tcPr>
            <w:cnfStyle w:val="001000000000" w:firstRow="0" w:lastRow="0" w:firstColumn="1" w:lastColumn="0" w:oddVBand="0" w:evenVBand="0" w:oddHBand="0" w:evenHBand="0" w:firstRowFirstColumn="0" w:firstRowLastColumn="0" w:lastRowFirstColumn="0" w:lastRowLastColumn="0"/>
            <w:tcW w:w="4300" w:type="dxa"/>
            <w:noWrap/>
            <w:hideMark/>
          </w:tcPr>
          <w:p w14:paraId="54BF50F8" w14:textId="77777777" w:rsidR="00F41A24" w:rsidRPr="00000DFD" w:rsidRDefault="00F41A24" w:rsidP="00372DAE">
            <w:pPr>
              <w:spacing w:before="0" w:line="240" w:lineRule="auto"/>
              <w:rPr>
                <w:rFonts w:cs="Arial"/>
                <w:color w:val="D2002E" w:themeColor="accent1"/>
                <w:szCs w:val="24"/>
              </w:rPr>
            </w:pPr>
            <w:r w:rsidRPr="00000DFD">
              <w:rPr>
                <w:rFonts w:cs="Arial"/>
                <w:color w:val="D2002E" w:themeColor="accent1"/>
                <w:szCs w:val="24"/>
              </w:rPr>
              <w:t>£27,000 or less</w:t>
            </w:r>
          </w:p>
        </w:tc>
        <w:tc>
          <w:tcPr>
            <w:tcW w:w="960" w:type="dxa"/>
            <w:noWrap/>
            <w:hideMark/>
          </w:tcPr>
          <w:p w14:paraId="4A92125C"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00DFD">
              <w:rPr>
                <w:rFonts w:cs="Arial"/>
                <w:color w:val="D2002E" w:themeColor="accent1"/>
                <w:szCs w:val="24"/>
              </w:rPr>
              <w:t>0.04</w:t>
            </w:r>
          </w:p>
        </w:tc>
        <w:tc>
          <w:tcPr>
            <w:tcW w:w="960" w:type="dxa"/>
            <w:noWrap/>
            <w:hideMark/>
          </w:tcPr>
          <w:p w14:paraId="60D72C36"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00DFD">
              <w:rPr>
                <w:rFonts w:cs="Arial"/>
                <w:color w:val="D2002E" w:themeColor="accent1"/>
                <w:szCs w:val="24"/>
              </w:rPr>
              <w:t>0.76</w:t>
            </w:r>
          </w:p>
        </w:tc>
        <w:tc>
          <w:tcPr>
            <w:tcW w:w="1035" w:type="dxa"/>
            <w:noWrap/>
            <w:hideMark/>
          </w:tcPr>
          <w:p w14:paraId="39C7F6D3"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00DFD">
              <w:rPr>
                <w:rFonts w:cs="Arial"/>
                <w:color w:val="D2002E" w:themeColor="accent1"/>
                <w:szCs w:val="24"/>
              </w:rPr>
              <w:t>1.04</w:t>
            </w:r>
          </w:p>
        </w:tc>
        <w:tc>
          <w:tcPr>
            <w:tcW w:w="1701" w:type="dxa"/>
            <w:hideMark/>
          </w:tcPr>
          <w:p w14:paraId="4754C303"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color w:val="D2002E" w:themeColor="accent1"/>
                <w:szCs w:val="24"/>
              </w:rPr>
            </w:pPr>
            <w:r w:rsidRPr="00000DFD">
              <w:rPr>
                <w:rFonts w:cs="Arial"/>
                <w:color w:val="D2002E" w:themeColor="accent1"/>
                <w:szCs w:val="24"/>
              </w:rPr>
              <w:t>N/A</w:t>
            </w:r>
          </w:p>
        </w:tc>
      </w:tr>
      <w:tr w:rsidR="00F41A24" w:rsidRPr="00000DFD" w14:paraId="132B07D0" w14:textId="77777777" w:rsidTr="00FE3A85">
        <w:tblPrEx>
          <w:tblCellMar>
            <w:top w:w="57" w:type="dxa"/>
          </w:tblCellMar>
        </w:tblPrEx>
        <w:trPr>
          <w:trHeight w:val="402"/>
        </w:trPr>
        <w:tc>
          <w:tcPr>
            <w:cnfStyle w:val="001000000000" w:firstRow="0" w:lastRow="0" w:firstColumn="1" w:lastColumn="0" w:oddVBand="0" w:evenVBand="0" w:oddHBand="0" w:evenHBand="0" w:firstRowFirstColumn="0" w:firstRowLastColumn="0" w:lastRowFirstColumn="0" w:lastRowLastColumn="0"/>
            <w:tcW w:w="4300" w:type="dxa"/>
            <w:noWrap/>
            <w:hideMark/>
          </w:tcPr>
          <w:p w14:paraId="784A703A" w14:textId="77777777" w:rsidR="00F41A24" w:rsidRPr="00000DFD" w:rsidRDefault="00F41A24" w:rsidP="00372DAE">
            <w:pPr>
              <w:spacing w:before="0" w:line="240" w:lineRule="auto"/>
              <w:rPr>
                <w:rFonts w:cs="Arial"/>
                <w:szCs w:val="24"/>
              </w:rPr>
            </w:pPr>
            <w:r w:rsidRPr="00000DFD">
              <w:rPr>
                <w:rFonts w:cs="Arial"/>
                <w:szCs w:val="24"/>
              </w:rPr>
              <w:t>£32,001 and £42,737 (inclusive)</w:t>
            </w:r>
          </w:p>
        </w:tc>
        <w:tc>
          <w:tcPr>
            <w:tcW w:w="960" w:type="dxa"/>
            <w:noWrap/>
            <w:hideMark/>
          </w:tcPr>
          <w:p w14:paraId="5AC06757"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0.20</w:t>
            </w:r>
          </w:p>
        </w:tc>
        <w:tc>
          <w:tcPr>
            <w:tcW w:w="960" w:type="dxa"/>
            <w:noWrap/>
            <w:hideMark/>
          </w:tcPr>
          <w:p w14:paraId="224961A1"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0.20</w:t>
            </w:r>
          </w:p>
        </w:tc>
        <w:tc>
          <w:tcPr>
            <w:tcW w:w="1035" w:type="dxa"/>
            <w:noWrap/>
            <w:hideMark/>
          </w:tcPr>
          <w:p w14:paraId="74331BFA"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1.23</w:t>
            </w:r>
          </w:p>
        </w:tc>
        <w:tc>
          <w:tcPr>
            <w:tcW w:w="1701" w:type="dxa"/>
            <w:hideMark/>
          </w:tcPr>
          <w:p w14:paraId="67C53264"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N/A</w:t>
            </w:r>
          </w:p>
        </w:tc>
      </w:tr>
      <w:tr w:rsidR="00F41A24" w:rsidRPr="00000DFD" w14:paraId="6310DC66" w14:textId="77777777" w:rsidTr="00FE3A85">
        <w:tblPrEx>
          <w:tblCellMar>
            <w:top w:w="57" w:type="dxa"/>
          </w:tblCellMar>
        </w:tblPrEx>
        <w:trPr>
          <w:trHeight w:val="402"/>
        </w:trPr>
        <w:tc>
          <w:tcPr>
            <w:cnfStyle w:val="001000000000" w:firstRow="0" w:lastRow="0" w:firstColumn="1" w:lastColumn="0" w:oddVBand="0" w:evenVBand="0" w:oddHBand="0" w:evenHBand="0" w:firstRowFirstColumn="0" w:firstRowLastColumn="0" w:lastRowFirstColumn="0" w:lastRowLastColumn="0"/>
            <w:tcW w:w="4300" w:type="dxa"/>
            <w:noWrap/>
            <w:hideMark/>
          </w:tcPr>
          <w:p w14:paraId="74D77619" w14:textId="77777777" w:rsidR="00F41A24" w:rsidRPr="00000DFD" w:rsidRDefault="00F41A24" w:rsidP="00372DAE">
            <w:pPr>
              <w:spacing w:before="0" w:line="240" w:lineRule="auto"/>
              <w:rPr>
                <w:rFonts w:cs="Arial"/>
                <w:szCs w:val="24"/>
              </w:rPr>
            </w:pPr>
            <w:r w:rsidRPr="00000DFD">
              <w:rPr>
                <w:rFonts w:cs="Arial"/>
                <w:szCs w:val="24"/>
              </w:rPr>
              <w:t>Greater than £42,737</w:t>
            </w:r>
          </w:p>
        </w:tc>
        <w:tc>
          <w:tcPr>
            <w:tcW w:w="960" w:type="dxa"/>
            <w:noWrap/>
            <w:hideMark/>
          </w:tcPr>
          <w:p w14:paraId="08DA9E7D"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0.28</w:t>
            </w:r>
          </w:p>
        </w:tc>
        <w:tc>
          <w:tcPr>
            <w:tcW w:w="960" w:type="dxa"/>
            <w:noWrap/>
            <w:hideMark/>
          </w:tcPr>
          <w:p w14:paraId="45FEC932"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0.05</w:t>
            </w:r>
          </w:p>
        </w:tc>
        <w:tc>
          <w:tcPr>
            <w:tcW w:w="1035" w:type="dxa"/>
            <w:noWrap/>
            <w:hideMark/>
          </w:tcPr>
          <w:p w14:paraId="5A796E4F"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1.32</w:t>
            </w:r>
          </w:p>
        </w:tc>
        <w:tc>
          <w:tcPr>
            <w:tcW w:w="1701" w:type="dxa"/>
            <w:hideMark/>
          </w:tcPr>
          <w:p w14:paraId="7F89C328"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N/A</w:t>
            </w:r>
          </w:p>
        </w:tc>
      </w:tr>
      <w:tr w:rsidR="00F41A24" w:rsidRPr="00000DFD" w14:paraId="2B03755A" w14:textId="77777777" w:rsidTr="00FE3A85">
        <w:tblPrEx>
          <w:tblCellMar>
            <w:top w:w="57" w:type="dxa"/>
          </w:tblCellMar>
        </w:tblPrEx>
        <w:trPr>
          <w:trHeight w:val="900"/>
        </w:trPr>
        <w:tc>
          <w:tcPr>
            <w:cnfStyle w:val="001000000000" w:firstRow="0" w:lastRow="0" w:firstColumn="1" w:lastColumn="0" w:oddVBand="0" w:evenVBand="0" w:oddHBand="0" w:evenHBand="0" w:firstRowFirstColumn="0" w:firstRowLastColumn="0" w:lastRowFirstColumn="0" w:lastRowLastColumn="0"/>
            <w:tcW w:w="4300" w:type="dxa"/>
            <w:noWrap/>
            <w:hideMark/>
          </w:tcPr>
          <w:p w14:paraId="18E43376" w14:textId="77777777" w:rsidR="00F41A24" w:rsidRPr="00000DFD" w:rsidRDefault="00F41A24" w:rsidP="00372DAE">
            <w:pPr>
              <w:spacing w:before="0" w:line="240" w:lineRule="auto"/>
              <w:rPr>
                <w:rFonts w:cs="Arial"/>
                <w:szCs w:val="24"/>
              </w:rPr>
            </w:pPr>
            <w:r w:rsidRPr="00000DFD">
              <w:rPr>
                <w:rFonts w:cs="Arial"/>
                <w:szCs w:val="24"/>
              </w:rPr>
              <w:t>Unknown (assumed high)</w:t>
            </w:r>
          </w:p>
        </w:tc>
        <w:tc>
          <w:tcPr>
            <w:tcW w:w="960" w:type="dxa"/>
            <w:noWrap/>
            <w:hideMark/>
          </w:tcPr>
          <w:p w14:paraId="0596F9C2"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0.33</w:t>
            </w:r>
          </w:p>
        </w:tc>
        <w:tc>
          <w:tcPr>
            <w:tcW w:w="960" w:type="dxa"/>
            <w:noWrap/>
            <w:hideMark/>
          </w:tcPr>
          <w:p w14:paraId="0BF82A52"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0.02</w:t>
            </w:r>
          </w:p>
        </w:tc>
        <w:tc>
          <w:tcPr>
            <w:tcW w:w="1035" w:type="dxa"/>
            <w:noWrap/>
            <w:hideMark/>
          </w:tcPr>
          <w:p w14:paraId="4A7C5106"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1.39</w:t>
            </w:r>
          </w:p>
        </w:tc>
        <w:tc>
          <w:tcPr>
            <w:tcW w:w="1701" w:type="dxa"/>
            <w:hideMark/>
          </w:tcPr>
          <w:p w14:paraId="1E3D26BA" w14:textId="77777777" w:rsidR="00F41A24" w:rsidRPr="00000DFD" w:rsidRDefault="00F41A24" w:rsidP="00372DAE">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000DFD">
              <w:rPr>
                <w:rFonts w:cs="Arial"/>
                <w:szCs w:val="24"/>
              </w:rPr>
              <w:t>1.7% to 14.6% more likely to attain</w:t>
            </w:r>
          </w:p>
        </w:tc>
      </w:tr>
    </w:tbl>
    <w:p w14:paraId="3EB9D7FC" w14:textId="77777777" w:rsidR="00F41A24" w:rsidRPr="00000DFD" w:rsidRDefault="00F41A24" w:rsidP="00F41A24">
      <w:pPr>
        <w:spacing w:before="0" w:line="276" w:lineRule="auto"/>
        <w:rPr>
          <w:lang w:eastAsia="en-US"/>
        </w:rPr>
      </w:pPr>
    </w:p>
    <w:p w14:paraId="7A9FB3AA" w14:textId="77777777" w:rsidR="00F41A24" w:rsidRPr="00000DFD" w:rsidRDefault="00F41A24" w:rsidP="00F41A24">
      <w:pPr>
        <w:pStyle w:val="Heading2"/>
        <w:spacing w:after="0" w:line="276" w:lineRule="auto"/>
      </w:pPr>
      <w:bookmarkStart w:id="27" w:name="_Toc225952941"/>
      <w:r w:rsidRPr="00000DFD">
        <w:t>Other variables</w:t>
      </w:r>
      <w:bookmarkEnd w:id="27"/>
    </w:p>
    <w:p w14:paraId="5BBC67C8" w14:textId="77777777" w:rsidR="00F41A24" w:rsidRPr="000E7F3F" w:rsidRDefault="00F41A24" w:rsidP="00F41A24">
      <w:pPr>
        <w:spacing w:line="276" w:lineRule="auto"/>
        <w:rPr>
          <w:lang w:eastAsia="en-US"/>
        </w:rPr>
      </w:pPr>
      <w:r w:rsidRPr="00000DFD">
        <w:rPr>
          <w:lang w:eastAsia="en-US"/>
        </w:rPr>
        <w:t>Statistically significant results were observ</w:t>
      </w:r>
      <w:r w:rsidRPr="000E7F3F">
        <w:rPr>
          <w:lang w:eastAsia="en-US"/>
        </w:rPr>
        <w:t>ed within several of the control variables. A summary of these is provided below.</w:t>
      </w:r>
    </w:p>
    <w:p w14:paraId="65E65A91" w14:textId="77777777" w:rsidR="00F41A24" w:rsidRPr="009B753C" w:rsidRDefault="00F41A24" w:rsidP="00F41A24">
      <w:pPr>
        <w:pStyle w:val="Heading3"/>
        <w:spacing w:line="276" w:lineRule="auto"/>
      </w:pPr>
      <w:bookmarkStart w:id="28" w:name="_Toc225952942"/>
      <w:r w:rsidRPr="009B753C">
        <w:lastRenderedPageBreak/>
        <w:t>Continuation</w:t>
      </w:r>
      <w:bookmarkEnd w:id="28"/>
    </w:p>
    <w:p w14:paraId="512D50A1" w14:textId="77777777" w:rsidR="00F41A24" w:rsidRPr="009B753C" w:rsidRDefault="00F41A24" w:rsidP="00F41A24">
      <w:pPr>
        <w:spacing w:before="0" w:line="276" w:lineRule="auto"/>
        <w:rPr>
          <w:lang w:eastAsia="en-US"/>
        </w:rPr>
      </w:pPr>
    </w:p>
    <w:p w14:paraId="527B162A" w14:textId="77777777" w:rsidR="00F41A24" w:rsidRPr="009B753C" w:rsidRDefault="00F41A24" w:rsidP="00F41A24">
      <w:pPr>
        <w:pStyle w:val="Heading4"/>
        <w:spacing w:before="0" w:line="276" w:lineRule="auto"/>
        <w:rPr>
          <w:lang w:eastAsia="en-US"/>
        </w:rPr>
      </w:pPr>
      <w:r w:rsidRPr="009B753C">
        <w:rPr>
          <w:lang w:eastAsia="en-US"/>
        </w:rPr>
        <w:t>Gender</w:t>
      </w:r>
    </w:p>
    <w:p w14:paraId="570E35C1" w14:textId="77777777" w:rsidR="00F41A24" w:rsidRPr="009B753C" w:rsidRDefault="00F41A24" w:rsidP="00F41A24">
      <w:pPr>
        <w:spacing w:line="276" w:lineRule="auto"/>
        <w:rPr>
          <w:lang w:eastAsia="en-US"/>
        </w:rPr>
      </w:pPr>
      <w:bookmarkStart w:id="29" w:name="_Hlk221781328"/>
      <w:r w:rsidRPr="009B753C">
        <w:rPr>
          <w:lang w:eastAsia="en-US"/>
        </w:rPr>
        <w:t>Female students can be inferred to have been 3.2% to 5.3% more likely than males to continue into the second year of their course.</w:t>
      </w:r>
    </w:p>
    <w:bookmarkEnd w:id="29"/>
    <w:p w14:paraId="5731078D" w14:textId="77777777" w:rsidR="00F41A24" w:rsidRPr="00C55822" w:rsidRDefault="00F41A24" w:rsidP="00F41A24">
      <w:pPr>
        <w:spacing w:before="0" w:line="276" w:lineRule="auto"/>
        <w:rPr>
          <w:highlight w:val="magenta"/>
          <w:lang w:eastAsia="en-US"/>
        </w:rPr>
      </w:pPr>
    </w:p>
    <w:p w14:paraId="0EFB8F48" w14:textId="77777777" w:rsidR="00F41A24" w:rsidRPr="002505A8" w:rsidRDefault="00F41A24" w:rsidP="00F41A24">
      <w:pPr>
        <w:pStyle w:val="Heading4"/>
        <w:spacing w:before="0" w:line="276" w:lineRule="auto"/>
        <w:rPr>
          <w:lang w:eastAsia="en-US"/>
        </w:rPr>
      </w:pPr>
      <w:r w:rsidRPr="002505A8">
        <w:rPr>
          <w:lang w:eastAsia="en-US"/>
        </w:rPr>
        <w:t>Ethnicity</w:t>
      </w:r>
    </w:p>
    <w:p w14:paraId="63B47593" w14:textId="77777777" w:rsidR="00F41A24" w:rsidRPr="002505A8" w:rsidRDefault="00F41A24" w:rsidP="00F41A24">
      <w:pPr>
        <w:spacing w:line="276" w:lineRule="auto"/>
        <w:rPr>
          <w:lang w:eastAsia="en-US"/>
        </w:rPr>
      </w:pPr>
      <w:r w:rsidRPr="002505A8">
        <w:rPr>
          <w:lang w:eastAsia="en-US"/>
        </w:rPr>
        <w:t>Students from the Other ethnic group can be inferred to have been 0.4% to 6.6% less likely than White students to continue into the second year of the course.</w:t>
      </w:r>
    </w:p>
    <w:p w14:paraId="1D0F7FFE" w14:textId="77777777" w:rsidR="00F41A24" w:rsidRPr="00C55822" w:rsidRDefault="00F41A24" w:rsidP="00F41A24">
      <w:pPr>
        <w:spacing w:before="0" w:line="276" w:lineRule="auto"/>
        <w:rPr>
          <w:highlight w:val="magenta"/>
          <w:lang w:eastAsia="en-US"/>
        </w:rPr>
      </w:pPr>
    </w:p>
    <w:p w14:paraId="76ADE2DA" w14:textId="77777777" w:rsidR="00F41A24" w:rsidRPr="002505A8" w:rsidRDefault="00F41A24" w:rsidP="00F41A24">
      <w:pPr>
        <w:pStyle w:val="Heading4"/>
        <w:spacing w:before="0" w:line="276" w:lineRule="auto"/>
        <w:rPr>
          <w:lang w:eastAsia="en-US"/>
        </w:rPr>
      </w:pPr>
      <w:r w:rsidRPr="002505A8">
        <w:rPr>
          <w:lang w:eastAsia="en-US"/>
        </w:rPr>
        <w:t>Declared disability</w:t>
      </w:r>
    </w:p>
    <w:p w14:paraId="07E4AC27" w14:textId="77777777" w:rsidR="00F41A24" w:rsidRPr="002505A8" w:rsidRDefault="00F41A24" w:rsidP="00F41A24">
      <w:pPr>
        <w:spacing w:line="276" w:lineRule="auto"/>
        <w:rPr>
          <w:lang w:eastAsia="en-US"/>
        </w:rPr>
      </w:pPr>
      <w:r w:rsidRPr="002505A8">
        <w:rPr>
          <w:lang w:eastAsia="en-US"/>
        </w:rPr>
        <w:t>Students with a declared disability and not in receipt of DSA can be inferred to have been 1.2% to 5.7% less likely to continue into the second year of the course than students with no declared disability.</w:t>
      </w:r>
    </w:p>
    <w:p w14:paraId="6AACF775" w14:textId="77777777" w:rsidR="00F41A24" w:rsidRPr="00C55822" w:rsidRDefault="00F41A24" w:rsidP="00F41A24">
      <w:pPr>
        <w:spacing w:before="0" w:line="276" w:lineRule="auto"/>
        <w:rPr>
          <w:highlight w:val="magenta"/>
          <w:lang w:eastAsia="en-US"/>
        </w:rPr>
      </w:pPr>
    </w:p>
    <w:p w14:paraId="089E328D" w14:textId="77777777" w:rsidR="00F41A24" w:rsidRPr="009B753C" w:rsidRDefault="00F41A24" w:rsidP="00F41A24">
      <w:pPr>
        <w:pStyle w:val="Heading4"/>
        <w:spacing w:before="0" w:line="276" w:lineRule="auto"/>
        <w:rPr>
          <w:lang w:eastAsia="en-US"/>
        </w:rPr>
      </w:pPr>
      <w:r w:rsidRPr="009B753C">
        <w:rPr>
          <w:lang w:eastAsia="en-US"/>
        </w:rPr>
        <w:t>POLAR4 and IMD2019</w:t>
      </w:r>
    </w:p>
    <w:p w14:paraId="3806060B" w14:textId="77777777" w:rsidR="00F41A24" w:rsidRPr="002505A8" w:rsidRDefault="00F41A24" w:rsidP="00F41A24">
      <w:pPr>
        <w:spacing w:line="276" w:lineRule="auto"/>
        <w:rPr>
          <w:lang w:eastAsia="en-US"/>
        </w:rPr>
      </w:pPr>
      <w:r w:rsidRPr="002505A8">
        <w:rPr>
          <w:lang w:eastAsia="en-US"/>
        </w:rPr>
        <w:t>No statistically significant results were seen within POLAR4.</w:t>
      </w:r>
    </w:p>
    <w:p w14:paraId="5A229E06" w14:textId="77777777" w:rsidR="00F41A24" w:rsidRPr="002505A8" w:rsidRDefault="00F41A24" w:rsidP="00F41A24">
      <w:pPr>
        <w:spacing w:line="276" w:lineRule="auto"/>
        <w:rPr>
          <w:lang w:eastAsia="en-US"/>
        </w:rPr>
      </w:pPr>
      <w:r w:rsidRPr="002505A8">
        <w:rPr>
          <w:lang w:eastAsia="en-US"/>
        </w:rPr>
        <w:t>Conversely, for IMD, students from IMD2019 Quintile 5 can be inferred to have been 0.8% to 5.3% more likely to continue into the second year of the course than students from Quintile 1.</w:t>
      </w:r>
    </w:p>
    <w:p w14:paraId="7D1537B3" w14:textId="77777777" w:rsidR="00F41A24" w:rsidRPr="00C55822" w:rsidRDefault="00F41A24" w:rsidP="00F41A24">
      <w:pPr>
        <w:spacing w:before="0" w:line="276" w:lineRule="auto"/>
        <w:rPr>
          <w:highlight w:val="magenta"/>
          <w:lang w:eastAsia="en-US"/>
        </w:rPr>
      </w:pPr>
    </w:p>
    <w:p w14:paraId="3206C0F8" w14:textId="77777777" w:rsidR="00F41A24" w:rsidRPr="009B753C" w:rsidRDefault="00F41A24" w:rsidP="00F41A24">
      <w:pPr>
        <w:pStyle w:val="Heading4"/>
        <w:spacing w:before="0" w:line="276" w:lineRule="auto"/>
        <w:rPr>
          <w:lang w:eastAsia="en-US"/>
        </w:rPr>
      </w:pPr>
      <w:r w:rsidRPr="009B753C">
        <w:rPr>
          <w:lang w:eastAsia="en-US"/>
        </w:rPr>
        <w:t>Clearing</w:t>
      </w:r>
    </w:p>
    <w:p w14:paraId="4825B625" w14:textId="77777777" w:rsidR="00F41A24" w:rsidRPr="002505A8" w:rsidRDefault="00F41A24" w:rsidP="00F41A24">
      <w:pPr>
        <w:spacing w:line="276" w:lineRule="auto"/>
        <w:rPr>
          <w:lang w:eastAsia="en-US"/>
        </w:rPr>
      </w:pPr>
      <w:r w:rsidRPr="002505A8">
        <w:rPr>
          <w:lang w:eastAsia="en-US"/>
        </w:rPr>
        <w:t>No statistically significant results were observed.</w:t>
      </w:r>
    </w:p>
    <w:p w14:paraId="69C9914A" w14:textId="77777777" w:rsidR="00F41A24" w:rsidRPr="002505A8" w:rsidRDefault="00F41A24" w:rsidP="00F41A24">
      <w:pPr>
        <w:spacing w:before="0" w:line="276" w:lineRule="auto"/>
        <w:rPr>
          <w:lang w:eastAsia="en-US"/>
        </w:rPr>
      </w:pPr>
    </w:p>
    <w:p w14:paraId="74D7BAA4" w14:textId="77777777" w:rsidR="00F41A24" w:rsidRPr="002505A8" w:rsidRDefault="00F41A24" w:rsidP="00F41A24">
      <w:pPr>
        <w:pStyle w:val="Heading4"/>
        <w:spacing w:before="0" w:line="276" w:lineRule="auto"/>
        <w:rPr>
          <w:lang w:eastAsia="en-US"/>
        </w:rPr>
      </w:pPr>
      <w:r w:rsidRPr="002505A8">
        <w:rPr>
          <w:lang w:eastAsia="en-US"/>
        </w:rPr>
        <w:t>Term-time accommodation</w:t>
      </w:r>
    </w:p>
    <w:p w14:paraId="132021F6" w14:textId="77777777" w:rsidR="00F41A24" w:rsidRPr="002505A8" w:rsidRDefault="00F41A24" w:rsidP="00F41A24">
      <w:pPr>
        <w:spacing w:line="276" w:lineRule="auto"/>
        <w:rPr>
          <w:lang w:eastAsia="en-US"/>
        </w:rPr>
      </w:pPr>
      <w:r w:rsidRPr="002505A8">
        <w:rPr>
          <w:lang w:eastAsia="en-US"/>
        </w:rPr>
        <w:t>Statistically significant results were observed for 4 categories within term-time accommodation:</w:t>
      </w:r>
    </w:p>
    <w:p w14:paraId="52C3A1EC" w14:textId="77777777" w:rsidR="00F41A24" w:rsidRPr="002505A8" w:rsidRDefault="00F41A24" w:rsidP="00F41A24">
      <w:pPr>
        <w:pStyle w:val="ListParagraph"/>
        <w:numPr>
          <w:ilvl w:val="0"/>
          <w:numId w:val="34"/>
        </w:numPr>
        <w:spacing w:line="276" w:lineRule="auto"/>
        <w:rPr>
          <w:lang w:eastAsia="en-US"/>
        </w:rPr>
      </w:pPr>
      <w:r w:rsidRPr="002505A8">
        <w:rPr>
          <w:lang w:eastAsia="en-US"/>
        </w:rPr>
        <w:t xml:space="preserve">Students who were living in their parental home can be inferred to have been 5.1% to 11.2% less likely than those living in University accommodation </w:t>
      </w:r>
      <w:r>
        <w:rPr>
          <w:lang w:eastAsia="en-US"/>
        </w:rPr>
        <w:t xml:space="preserve">to </w:t>
      </w:r>
      <w:r w:rsidRPr="002505A8">
        <w:rPr>
          <w:lang w:eastAsia="en-US"/>
        </w:rPr>
        <w:t>continue into the second year of their course.</w:t>
      </w:r>
    </w:p>
    <w:p w14:paraId="3627C67B" w14:textId="77777777" w:rsidR="00F41A24" w:rsidRPr="002505A8" w:rsidRDefault="00F41A24" w:rsidP="00F41A24">
      <w:pPr>
        <w:pStyle w:val="ListParagraph"/>
        <w:numPr>
          <w:ilvl w:val="0"/>
          <w:numId w:val="34"/>
        </w:numPr>
        <w:spacing w:line="276" w:lineRule="auto"/>
        <w:rPr>
          <w:lang w:eastAsia="en-US"/>
        </w:rPr>
      </w:pPr>
      <w:r w:rsidRPr="002505A8">
        <w:rPr>
          <w:lang w:eastAsia="en-US"/>
        </w:rPr>
        <w:t xml:space="preserve">Students who were living in their own home can be inferred to have been 2.2% to 13.5% less likely than those living in University accommodation </w:t>
      </w:r>
      <w:r>
        <w:rPr>
          <w:lang w:eastAsia="en-US"/>
        </w:rPr>
        <w:t xml:space="preserve">to </w:t>
      </w:r>
      <w:r w:rsidRPr="002505A8">
        <w:rPr>
          <w:lang w:eastAsia="en-US"/>
        </w:rPr>
        <w:t>continue into the second year of their course.</w:t>
      </w:r>
    </w:p>
    <w:p w14:paraId="2EF63E2B" w14:textId="77777777" w:rsidR="00F41A24" w:rsidRPr="002505A8" w:rsidRDefault="00F41A24" w:rsidP="00F41A24">
      <w:pPr>
        <w:pStyle w:val="ListParagraph"/>
        <w:numPr>
          <w:ilvl w:val="0"/>
          <w:numId w:val="34"/>
        </w:numPr>
        <w:spacing w:line="276" w:lineRule="auto"/>
        <w:rPr>
          <w:lang w:eastAsia="en-US"/>
        </w:rPr>
      </w:pPr>
      <w:r w:rsidRPr="002505A8">
        <w:rPr>
          <w:lang w:eastAsia="en-US"/>
        </w:rPr>
        <w:t xml:space="preserve">Students who were living in other rented accommodation can be inferred to have been 0.5% to 12.5% less likely than those living in University accommodation </w:t>
      </w:r>
      <w:r>
        <w:rPr>
          <w:lang w:eastAsia="en-US"/>
        </w:rPr>
        <w:t xml:space="preserve">to </w:t>
      </w:r>
      <w:r w:rsidRPr="002505A8">
        <w:rPr>
          <w:lang w:eastAsia="en-US"/>
        </w:rPr>
        <w:t>continue into the second year of their course.</w:t>
      </w:r>
    </w:p>
    <w:p w14:paraId="37BBB729" w14:textId="77777777" w:rsidR="00F41A24" w:rsidRPr="002505A8" w:rsidRDefault="00F41A24" w:rsidP="00F41A24">
      <w:pPr>
        <w:pStyle w:val="ListParagraph"/>
        <w:numPr>
          <w:ilvl w:val="0"/>
          <w:numId w:val="34"/>
        </w:numPr>
        <w:spacing w:line="276" w:lineRule="auto"/>
        <w:rPr>
          <w:lang w:eastAsia="en-US"/>
        </w:rPr>
      </w:pPr>
      <w:r w:rsidRPr="002505A8">
        <w:rPr>
          <w:lang w:eastAsia="en-US"/>
        </w:rPr>
        <w:t>Students who were living in other accommodation (including unknown and not in attendance)</w:t>
      </w:r>
      <w:r>
        <w:rPr>
          <w:lang w:eastAsia="en-US"/>
        </w:rPr>
        <w:t xml:space="preserve"> </w:t>
      </w:r>
      <w:r w:rsidRPr="002505A8">
        <w:rPr>
          <w:lang w:eastAsia="en-US"/>
        </w:rPr>
        <w:t xml:space="preserve">can be inferred to have been 3.3% to 10.9% less likely than those living in University accommodation </w:t>
      </w:r>
      <w:r>
        <w:rPr>
          <w:lang w:eastAsia="en-US"/>
        </w:rPr>
        <w:t xml:space="preserve">to </w:t>
      </w:r>
      <w:r w:rsidRPr="002505A8">
        <w:rPr>
          <w:lang w:eastAsia="en-US"/>
        </w:rPr>
        <w:t>continue into the second year of their course.</w:t>
      </w:r>
    </w:p>
    <w:p w14:paraId="376E7AEF" w14:textId="77777777" w:rsidR="00F41A24" w:rsidRPr="0071273E" w:rsidRDefault="00F41A24" w:rsidP="00F41A24">
      <w:pPr>
        <w:pStyle w:val="Heading3"/>
        <w:spacing w:line="276" w:lineRule="auto"/>
      </w:pPr>
      <w:bookmarkStart w:id="30" w:name="_Toc225952943"/>
      <w:r w:rsidRPr="0071273E">
        <w:lastRenderedPageBreak/>
        <w:t>Completion</w:t>
      </w:r>
      <w:bookmarkEnd w:id="30"/>
    </w:p>
    <w:p w14:paraId="246EF0E7" w14:textId="77777777" w:rsidR="00F41A24" w:rsidRPr="0071273E" w:rsidRDefault="00F41A24" w:rsidP="00F41A24">
      <w:pPr>
        <w:spacing w:before="0" w:line="276" w:lineRule="auto"/>
        <w:rPr>
          <w:lang w:eastAsia="en-US"/>
        </w:rPr>
      </w:pPr>
    </w:p>
    <w:p w14:paraId="4F1C8BBC" w14:textId="77777777" w:rsidR="00F41A24" w:rsidRPr="0071273E" w:rsidRDefault="00F41A24" w:rsidP="00F41A24">
      <w:pPr>
        <w:pStyle w:val="Heading4"/>
        <w:spacing w:before="0" w:line="276" w:lineRule="auto"/>
        <w:rPr>
          <w:lang w:eastAsia="en-US"/>
        </w:rPr>
      </w:pPr>
      <w:r w:rsidRPr="0071273E">
        <w:rPr>
          <w:lang w:eastAsia="en-US"/>
        </w:rPr>
        <w:t>Gender</w:t>
      </w:r>
    </w:p>
    <w:p w14:paraId="15297F85" w14:textId="77777777" w:rsidR="00F41A24" w:rsidRPr="0071273E" w:rsidRDefault="00F41A24" w:rsidP="00F41A24">
      <w:pPr>
        <w:spacing w:line="276" w:lineRule="auto"/>
        <w:rPr>
          <w:lang w:eastAsia="en-US"/>
        </w:rPr>
      </w:pPr>
      <w:r w:rsidRPr="0071273E">
        <w:rPr>
          <w:lang w:eastAsia="en-US"/>
        </w:rPr>
        <w:t xml:space="preserve">Female students can be inferred to have been 5.1% to 8.2% more likely than males to complete their degree within five years. </w:t>
      </w:r>
    </w:p>
    <w:p w14:paraId="740DCB15" w14:textId="77777777" w:rsidR="00F41A24" w:rsidRPr="00827756" w:rsidRDefault="00F41A24" w:rsidP="00F41A24">
      <w:pPr>
        <w:spacing w:before="0" w:line="276" w:lineRule="auto"/>
        <w:rPr>
          <w:highlight w:val="yellow"/>
          <w:lang w:eastAsia="en-US"/>
        </w:rPr>
      </w:pPr>
    </w:p>
    <w:p w14:paraId="5034E68E" w14:textId="77777777" w:rsidR="00F41A24" w:rsidRPr="0071273E" w:rsidRDefault="00F41A24" w:rsidP="00F41A24">
      <w:pPr>
        <w:pStyle w:val="Heading4"/>
        <w:spacing w:before="0" w:line="276" w:lineRule="auto"/>
        <w:rPr>
          <w:lang w:eastAsia="en-US"/>
        </w:rPr>
      </w:pPr>
      <w:r w:rsidRPr="0071273E">
        <w:rPr>
          <w:lang w:eastAsia="en-US"/>
        </w:rPr>
        <w:t>Ethnicity</w:t>
      </w:r>
    </w:p>
    <w:p w14:paraId="187DAE3B" w14:textId="77777777" w:rsidR="00F41A24" w:rsidRPr="0071273E" w:rsidRDefault="00F41A24" w:rsidP="00F41A24">
      <w:pPr>
        <w:spacing w:line="276" w:lineRule="auto"/>
        <w:rPr>
          <w:lang w:eastAsia="en-US"/>
        </w:rPr>
      </w:pPr>
      <w:r w:rsidRPr="0071273E">
        <w:rPr>
          <w:lang w:eastAsia="en-US"/>
        </w:rPr>
        <w:t>Students of Black African descent can be inferred to have been 2.3% to 12.6% less likely than White students to complete their degree within five years.</w:t>
      </w:r>
    </w:p>
    <w:p w14:paraId="2891BC57" w14:textId="77777777" w:rsidR="00F41A24" w:rsidRPr="00827756" w:rsidRDefault="00F41A24" w:rsidP="00F41A24">
      <w:pPr>
        <w:spacing w:before="0" w:line="276" w:lineRule="auto"/>
        <w:rPr>
          <w:highlight w:val="yellow"/>
          <w:lang w:eastAsia="en-US"/>
        </w:rPr>
      </w:pPr>
    </w:p>
    <w:p w14:paraId="79F32434" w14:textId="77777777" w:rsidR="00F41A24" w:rsidRPr="0071273E" w:rsidRDefault="00F41A24" w:rsidP="00F41A24">
      <w:pPr>
        <w:pStyle w:val="Heading4"/>
        <w:spacing w:before="0" w:line="276" w:lineRule="auto"/>
        <w:rPr>
          <w:lang w:eastAsia="en-US"/>
        </w:rPr>
      </w:pPr>
      <w:r w:rsidRPr="0071273E">
        <w:rPr>
          <w:lang w:eastAsia="en-US"/>
        </w:rPr>
        <w:t>Declared disability</w:t>
      </w:r>
    </w:p>
    <w:p w14:paraId="7FC0CD7B" w14:textId="77777777" w:rsidR="00F41A24" w:rsidRPr="0071273E" w:rsidRDefault="00F41A24" w:rsidP="00F41A24">
      <w:pPr>
        <w:spacing w:line="276" w:lineRule="auto"/>
        <w:rPr>
          <w:lang w:eastAsia="en-US"/>
        </w:rPr>
      </w:pPr>
      <w:r w:rsidRPr="0071273E">
        <w:rPr>
          <w:lang w:eastAsia="en-US"/>
        </w:rPr>
        <w:t>Students with a declared disability and not in receipt of DSA can be inferred to have been 2.4% to 9.3% less likely to complete their degree within five years than students with no declared disability.</w:t>
      </w:r>
    </w:p>
    <w:p w14:paraId="2297EBC9" w14:textId="77777777" w:rsidR="00F41A24" w:rsidRDefault="00F41A24" w:rsidP="00F41A24">
      <w:pPr>
        <w:pStyle w:val="Heading4"/>
        <w:spacing w:before="0" w:line="276" w:lineRule="auto"/>
        <w:rPr>
          <w:highlight w:val="yellow"/>
          <w:lang w:eastAsia="en-US"/>
        </w:rPr>
      </w:pPr>
    </w:p>
    <w:p w14:paraId="393D3A7D" w14:textId="77777777" w:rsidR="00F41A24" w:rsidRPr="00297549" w:rsidRDefault="00F41A24" w:rsidP="00F41A24">
      <w:pPr>
        <w:pStyle w:val="Heading4"/>
        <w:spacing w:before="0" w:line="276" w:lineRule="auto"/>
        <w:rPr>
          <w:lang w:eastAsia="en-US"/>
        </w:rPr>
      </w:pPr>
      <w:r w:rsidRPr="00297549">
        <w:rPr>
          <w:lang w:eastAsia="en-US"/>
        </w:rPr>
        <w:t>POLAR4 and IMD2019</w:t>
      </w:r>
    </w:p>
    <w:p w14:paraId="7CF99749" w14:textId="77777777" w:rsidR="00F41A24" w:rsidRPr="00297549" w:rsidRDefault="00F41A24" w:rsidP="00F41A24">
      <w:pPr>
        <w:spacing w:line="276" w:lineRule="auto"/>
        <w:rPr>
          <w:lang w:eastAsia="en-US"/>
        </w:rPr>
      </w:pPr>
      <w:r w:rsidRPr="00297549">
        <w:rPr>
          <w:lang w:eastAsia="en-US"/>
        </w:rPr>
        <w:t>No statistically significant results were observed for the POLAR4 quintiles.</w:t>
      </w:r>
    </w:p>
    <w:p w14:paraId="0E2DCF79" w14:textId="77777777" w:rsidR="00F41A24" w:rsidRPr="00297549" w:rsidRDefault="00F41A24" w:rsidP="00F41A24">
      <w:pPr>
        <w:spacing w:line="276" w:lineRule="auto"/>
        <w:rPr>
          <w:lang w:eastAsia="en-US"/>
        </w:rPr>
      </w:pPr>
      <w:r w:rsidRPr="00297549">
        <w:rPr>
          <w:lang w:eastAsia="en-US"/>
        </w:rPr>
        <w:t>Statistically significant results were observed for 3 IMD2019 quintiles:</w:t>
      </w:r>
    </w:p>
    <w:p w14:paraId="0E7D037E" w14:textId="77777777" w:rsidR="00F41A24" w:rsidRPr="00297549" w:rsidRDefault="00F41A24" w:rsidP="00F41A24">
      <w:pPr>
        <w:pStyle w:val="ListParagraph"/>
        <w:numPr>
          <w:ilvl w:val="0"/>
          <w:numId w:val="34"/>
        </w:numPr>
        <w:spacing w:line="276" w:lineRule="auto"/>
        <w:rPr>
          <w:lang w:eastAsia="en-US"/>
        </w:rPr>
      </w:pPr>
      <w:r w:rsidRPr="00297549">
        <w:rPr>
          <w:lang w:eastAsia="en-US"/>
        </w:rPr>
        <w:t>Students from IMD2019 Quintile 3 can be inferred to have been 4.1% to 9.7% more likely to complete their degree within five years than students from Quintile 1.</w:t>
      </w:r>
    </w:p>
    <w:p w14:paraId="6CFBA487" w14:textId="77777777" w:rsidR="00F41A24" w:rsidRPr="00297549" w:rsidRDefault="00F41A24" w:rsidP="00F41A24">
      <w:pPr>
        <w:pStyle w:val="ListParagraph"/>
        <w:numPr>
          <w:ilvl w:val="0"/>
          <w:numId w:val="34"/>
        </w:numPr>
        <w:spacing w:line="276" w:lineRule="auto"/>
        <w:rPr>
          <w:lang w:eastAsia="en-US"/>
        </w:rPr>
      </w:pPr>
      <w:r w:rsidRPr="00297549">
        <w:rPr>
          <w:lang w:eastAsia="en-US"/>
        </w:rPr>
        <w:t>Students from IMD2019 Quintile 4 can be inferred to have been 7.5% to 12.3% more likely to complete their degree within five years than students from Quintile 1.</w:t>
      </w:r>
    </w:p>
    <w:p w14:paraId="0CE3D23F" w14:textId="77777777" w:rsidR="00F41A24" w:rsidRPr="00297549" w:rsidRDefault="00F41A24" w:rsidP="00F41A24">
      <w:pPr>
        <w:pStyle w:val="ListParagraph"/>
        <w:numPr>
          <w:ilvl w:val="0"/>
          <w:numId w:val="34"/>
        </w:numPr>
        <w:spacing w:line="276" w:lineRule="auto"/>
        <w:rPr>
          <w:lang w:eastAsia="en-US"/>
        </w:rPr>
      </w:pPr>
      <w:r w:rsidRPr="00297549">
        <w:rPr>
          <w:lang w:eastAsia="en-US"/>
        </w:rPr>
        <w:t xml:space="preserve">Students from IMD2019 Quintile 5 can be inferred to have been 6.4% to 11.5% more likely </w:t>
      </w:r>
      <w:bookmarkStart w:id="31" w:name="_Hlk221790095"/>
      <w:r w:rsidRPr="00297549">
        <w:rPr>
          <w:lang w:eastAsia="en-US"/>
        </w:rPr>
        <w:t>to complete their degree within five years</w:t>
      </w:r>
      <w:bookmarkEnd w:id="31"/>
      <w:r w:rsidRPr="00297549">
        <w:rPr>
          <w:lang w:eastAsia="en-US"/>
        </w:rPr>
        <w:t xml:space="preserve"> than students from Quintile 1.</w:t>
      </w:r>
    </w:p>
    <w:p w14:paraId="1B057077" w14:textId="77777777" w:rsidR="00F41A24" w:rsidRPr="00827756" w:rsidRDefault="00F41A24" w:rsidP="00F41A24">
      <w:pPr>
        <w:pStyle w:val="ListParagraph"/>
        <w:numPr>
          <w:ilvl w:val="0"/>
          <w:numId w:val="0"/>
        </w:numPr>
        <w:spacing w:before="0" w:line="276" w:lineRule="auto"/>
        <w:ind w:left="720"/>
        <w:rPr>
          <w:highlight w:val="yellow"/>
          <w:lang w:eastAsia="en-US"/>
        </w:rPr>
      </w:pPr>
    </w:p>
    <w:p w14:paraId="3AB833D6" w14:textId="77777777" w:rsidR="00F41A24" w:rsidRPr="00297549" w:rsidRDefault="00F41A24" w:rsidP="00F41A24">
      <w:pPr>
        <w:pStyle w:val="Heading4"/>
        <w:spacing w:before="0" w:line="276" w:lineRule="auto"/>
        <w:rPr>
          <w:lang w:eastAsia="en-US"/>
        </w:rPr>
      </w:pPr>
      <w:r w:rsidRPr="00297549">
        <w:rPr>
          <w:lang w:eastAsia="en-US"/>
        </w:rPr>
        <w:t>Clearing</w:t>
      </w:r>
    </w:p>
    <w:p w14:paraId="47A971D5" w14:textId="77777777" w:rsidR="00F41A24" w:rsidRDefault="00F41A24" w:rsidP="00F41A24">
      <w:pPr>
        <w:spacing w:line="276" w:lineRule="auto"/>
        <w:rPr>
          <w:lang w:eastAsia="en-US"/>
        </w:rPr>
      </w:pPr>
      <w:r w:rsidRPr="00297549">
        <w:rPr>
          <w:lang w:eastAsia="en-US"/>
        </w:rPr>
        <w:t>No statistically significant results were observed.</w:t>
      </w:r>
    </w:p>
    <w:p w14:paraId="4A80D118" w14:textId="77777777" w:rsidR="00F41A24" w:rsidRDefault="00F41A24" w:rsidP="00F41A24">
      <w:pPr>
        <w:spacing w:line="276" w:lineRule="auto"/>
        <w:rPr>
          <w:lang w:eastAsia="en-US"/>
        </w:rPr>
      </w:pPr>
    </w:p>
    <w:p w14:paraId="4AE261F5" w14:textId="77777777" w:rsidR="00F41A24" w:rsidRPr="00297549" w:rsidRDefault="00F41A24" w:rsidP="00F41A24">
      <w:pPr>
        <w:pStyle w:val="Heading4"/>
        <w:spacing w:before="0" w:line="276" w:lineRule="auto"/>
        <w:rPr>
          <w:lang w:eastAsia="en-US"/>
        </w:rPr>
      </w:pPr>
      <w:r w:rsidRPr="00297549">
        <w:rPr>
          <w:lang w:eastAsia="en-US"/>
        </w:rPr>
        <w:t>Term-time accommodation</w:t>
      </w:r>
    </w:p>
    <w:p w14:paraId="69D4BE7B" w14:textId="77777777" w:rsidR="00F41A24" w:rsidRPr="00297549" w:rsidRDefault="00F41A24" w:rsidP="00F41A24">
      <w:pPr>
        <w:spacing w:line="276" w:lineRule="auto"/>
        <w:rPr>
          <w:lang w:eastAsia="en-US"/>
        </w:rPr>
      </w:pPr>
      <w:r w:rsidRPr="00297549">
        <w:rPr>
          <w:lang w:eastAsia="en-US"/>
        </w:rPr>
        <w:t>Statistically significant results were observed for 2 categories within term-time accommodation:</w:t>
      </w:r>
    </w:p>
    <w:p w14:paraId="219C63A8" w14:textId="77777777" w:rsidR="00F41A24" w:rsidRPr="00297549" w:rsidRDefault="00F41A24" w:rsidP="00F41A24">
      <w:pPr>
        <w:pStyle w:val="ListParagraph"/>
        <w:numPr>
          <w:ilvl w:val="0"/>
          <w:numId w:val="34"/>
        </w:numPr>
        <w:spacing w:line="276" w:lineRule="auto"/>
        <w:rPr>
          <w:lang w:eastAsia="en-US"/>
        </w:rPr>
      </w:pPr>
      <w:r w:rsidRPr="00297549">
        <w:rPr>
          <w:lang w:eastAsia="en-US"/>
        </w:rPr>
        <w:t>Students who were living in their parental home can be inferred to have been 7.2% to 19.7% less likely than those living in University accommodation to complete their degree within five years.</w:t>
      </w:r>
    </w:p>
    <w:p w14:paraId="07A7D7E3" w14:textId="77777777" w:rsidR="00F41A24" w:rsidRPr="00162888" w:rsidRDefault="00F41A24" w:rsidP="00F41A24">
      <w:pPr>
        <w:pStyle w:val="ListParagraph"/>
        <w:numPr>
          <w:ilvl w:val="0"/>
          <w:numId w:val="34"/>
        </w:numPr>
        <w:spacing w:line="276" w:lineRule="auto"/>
        <w:rPr>
          <w:lang w:eastAsia="en-US"/>
        </w:rPr>
      </w:pPr>
      <w:r w:rsidRPr="00297549">
        <w:rPr>
          <w:lang w:eastAsia="en-US"/>
        </w:rPr>
        <w:t>Students who were living in other rented accommodation can be inferred to have been 4.5% to 11.2% less likely than those living in University accommodation to complete their degree within five years.</w:t>
      </w:r>
    </w:p>
    <w:p w14:paraId="4D11C740" w14:textId="77777777" w:rsidR="00F41A24" w:rsidRPr="00804705" w:rsidRDefault="00F41A24" w:rsidP="00F41A24">
      <w:pPr>
        <w:pStyle w:val="Heading3"/>
        <w:spacing w:line="276" w:lineRule="auto"/>
      </w:pPr>
      <w:bookmarkStart w:id="32" w:name="_Toc225952944"/>
      <w:r w:rsidRPr="00804705">
        <w:lastRenderedPageBreak/>
        <w:t>Attainment</w:t>
      </w:r>
      <w:bookmarkEnd w:id="32"/>
    </w:p>
    <w:p w14:paraId="3E15CD66" w14:textId="77777777" w:rsidR="00F41A24" w:rsidRPr="00804705" w:rsidRDefault="00F41A24" w:rsidP="00F41A24">
      <w:pPr>
        <w:spacing w:before="0" w:line="276" w:lineRule="auto"/>
        <w:rPr>
          <w:lang w:eastAsia="en-US"/>
        </w:rPr>
      </w:pPr>
    </w:p>
    <w:p w14:paraId="65759227" w14:textId="77777777" w:rsidR="00F41A24" w:rsidRPr="00804705" w:rsidRDefault="00F41A24" w:rsidP="00F41A24">
      <w:pPr>
        <w:pStyle w:val="Heading4"/>
        <w:spacing w:before="0" w:line="276" w:lineRule="auto"/>
        <w:rPr>
          <w:lang w:eastAsia="en-US"/>
        </w:rPr>
      </w:pPr>
      <w:r w:rsidRPr="00804705">
        <w:rPr>
          <w:lang w:eastAsia="en-US"/>
        </w:rPr>
        <w:t>Gender</w:t>
      </w:r>
    </w:p>
    <w:p w14:paraId="6A74C2AC" w14:textId="77777777" w:rsidR="00F41A24" w:rsidRPr="00804705" w:rsidRDefault="00F41A24" w:rsidP="00F41A24">
      <w:pPr>
        <w:spacing w:line="276" w:lineRule="auto"/>
        <w:rPr>
          <w:lang w:eastAsia="en-US"/>
        </w:rPr>
      </w:pPr>
      <w:r w:rsidRPr="00804705">
        <w:rPr>
          <w:lang w:eastAsia="en-US"/>
        </w:rPr>
        <w:t xml:space="preserve">Female students can be inferred to have been 10.9% to 15.4% more likely than males to achieve a good degree. </w:t>
      </w:r>
    </w:p>
    <w:p w14:paraId="1C5D3EE4" w14:textId="77777777" w:rsidR="00F41A24" w:rsidRPr="00C339BF" w:rsidRDefault="00F41A24" w:rsidP="00F41A24">
      <w:pPr>
        <w:spacing w:before="0" w:line="276" w:lineRule="auto"/>
        <w:rPr>
          <w:lang w:eastAsia="en-US"/>
        </w:rPr>
      </w:pPr>
    </w:p>
    <w:p w14:paraId="404274B7" w14:textId="77777777" w:rsidR="00F41A24" w:rsidRPr="00C339BF" w:rsidRDefault="00F41A24" w:rsidP="00F41A24">
      <w:pPr>
        <w:pStyle w:val="Heading4"/>
        <w:spacing w:before="0" w:line="276" w:lineRule="auto"/>
        <w:rPr>
          <w:lang w:eastAsia="en-US"/>
        </w:rPr>
      </w:pPr>
      <w:r w:rsidRPr="00C339BF">
        <w:rPr>
          <w:lang w:eastAsia="en-US"/>
        </w:rPr>
        <w:t>Ethnicity</w:t>
      </w:r>
    </w:p>
    <w:p w14:paraId="508459AF" w14:textId="77777777" w:rsidR="00F41A24" w:rsidRPr="00C339BF" w:rsidRDefault="00F41A24" w:rsidP="00F41A24">
      <w:pPr>
        <w:spacing w:line="276" w:lineRule="auto"/>
        <w:rPr>
          <w:lang w:eastAsia="en-US"/>
        </w:rPr>
      </w:pPr>
      <w:r w:rsidRPr="00C339BF">
        <w:rPr>
          <w:lang w:eastAsia="en-US"/>
        </w:rPr>
        <w:t>Statistically significant results were observed for 5 ethnic groups:</w:t>
      </w:r>
    </w:p>
    <w:p w14:paraId="00717A2D" w14:textId="77777777" w:rsidR="00F41A24" w:rsidRPr="00C339BF" w:rsidRDefault="00F41A24" w:rsidP="00F41A24">
      <w:pPr>
        <w:pStyle w:val="ListParagraph"/>
        <w:numPr>
          <w:ilvl w:val="0"/>
          <w:numId w:val="35"/>
        </w:numPr>
        <w:spacing w:line="276" w:lineRule="auto"/>
        <w:rPr>
          <w:lang w:eastAsia="en-US"/>
        </w:rPr>
      </w:pPr>
      <w:r w:rsidRPr="00C339BF">
        <w:rPr>
          <w:lang w:eastAsia="en-US"/>
        </w:rPr>
        <w:t xml:space="preserve">Students of Black Caribbean descent can be inferred to have been 1.3% to 34.6% less likely than White students to achieve a good degree. </w:t>
      </w:r>
    </w:p>
    <w:p w14:paraId="1C68BD88" w14:textId="77777777" w:rsidR="00F41A24" w:rsidRPr="00C339BF" w:rsidRDefault="00F41A24" w:rsidP="00F41A24">
      <w:pPr>
        <w:pStyle w:val="ListParagraph"/>
        <w:numPr>
          <w:ilvl w:val="0"/>
          <w:numId w:val="35"/>
        </w:numPr>
        <w:spacing w:line="276" w:lineRule="auto"/>
        <w:rPr>
          <w:lang w:eastAsia="en-US"/>
        </w:rPr>
      </w:pPr>
      <w:r w:rsidRPr="00C339BF">
        <w:rPr>
          <w:lang w:eastAsia="en-US"/>
        </w:rPr>
        <w:t>Students of Black African descent can be inferred to have been 23.8% to 39.0% less likely than White students to achieve a good degree.</w:t>
      </w:r>
    </w:p>
    <w:p w14:paraId="793BD230" w14:textId="77777777" w:rsidR="00F41A24" w:rsidRPr="00C339BF" w:rsidRDefault="00F41A24" w:rsidP="00F41A24">
      <w:pPr>
        <w:pStyle w:val="ListParagraph"/>
        <w:numPr>
          <w:ilvl w:val="0"/>
          <w:numId w:val="35"/>
        </w:numPr>
        <w:spacing w:line="276" w:lineRule="auto"/>
        <w:rPr>
          <w:lang w:eastAsia="en-US"/>
        </w:rPr>
      </w:pPr>
      <w:r w:rsidRPr="00C339BF">
        <w:rPr>
          <w:lang w:eastAsia="en-US"/>
        </w:rPr>
        <w:t>Students of Indian descent can be inferred to have been 3.0% to 16.1% less likely than White students to achieve a good degree.</w:t>
      </w:r>
    </w:p>
    <w:p w14:paraId="06FB613B" w14:textId="77777777" w:rsidR="00F41A24" w:rsidRPr="00C339BF" w:rsidRDefault="00F41A24" w:rsidP="00F41A24">
      <w:pPr>
        <w:pStyle w:val="ListParagraph"/>
        <w:numPr>
          <w:ilvl w:val="0"/>
          <w:numId w:val="35"/>
        </w:numPr>
        <w:spacing w:line="276" w:lineRule="auto"/>
        <w:rPr>
          <w:lang w:eastAsia="en-US"/>
        </w:rPr>
      </w:pPr>
      <w:r w:rsidRPr="00C339BF">
        <w:rPr>
          <w:lang w:eastAsia="en-US"/>
        </w:rPr>
        <w:t>Students of Pakistani descent can be inferred to have been 12.0% to 26.6% less likely than White students to achieve a good degree.</w:t>
      </w:r>
    </w:p>
    <w:p w14:paraId="74CDD1F2" w14:textId="77777777" w:rsidR="00F41A24" w:rsidRPr="00C339BF" w:rsidRDefault="00F41A24" w:rsidP="00F41A24">
      <w:pPr>
        <w:pStyle w:val="ListParagraph"/>
        <w:numPr>
          <w:ilvl w:val="0"/>
          <w:numId w:val="35"/>
        </w:numPr>
        <w:spacing w:line="276" w:lineRule="auto"/>
        <w:rPr>
          <w:lang w:eastAsia="en-US"/>
        </w:rPr>
      </w:pPr>
      <w:r w:rsidRPr="00C339BF">
        <w:rPr>
          <w:lang w:eastAsia="en-US"/>
        </w:rPr>
        <w:t xml:space="preserve">Students of Other descent can be inferred to have been 4.9% to 17.4% less likely than White students to achieve a good degree. </w:t>
      </w:r>
    </w:p>
    <w:p w14:paraId="16FC35FD" w14:textId="77777777" w:rsidR="00F41A24" w:rsidRPr="00C339BF" w:rsidRDefault="00F41A24" w:rsidP="00F41A24">
      <w:pPr>
        <w:spacing w:line="276" w:lineRule="auto"/>
        <w:ind w:left="360"/>
        <w:rPr>
          <w:highlight w:val="yellow"/>
          <w:lang w:eastAsia="en-US"/>
        </w:rPr>
      </w:pPr>
    </w:p>
    <w:p w14:paraId="64AFF52A" w14:textId="77777777" w:rsidR="00F41A24" w:rsidRPr="004F414A" w:rsidRDefault="00F41A24" w:rsidP="00F41A24">
      <w:pPr>
        <w:pStyle w:val="Heading4"/>
        <w:spacing w:before="0" w:line="276" w:lineRule="auto"/>
        <w:rPr>
          <w:lang w:eastAsia="en-US"/>
        </w:rPr>
      </w:pPr>
      <w:r w:rsidRPr="004F414A">
        <w:rPr>
          <w:lang w:eastAsia="en-US"/>
        </w:rPr>
        <w:t>Declared disability</w:t>
      </w:r>
    </w:p>
    <w:p w14:paraId="4D5D2652" w14:textId="77777777" w:rsidR="00F41A24" w:rsidRPr="004F414A" w:rsidRDefault="00F41A24" w:rsidP="00F41A24">
      <w:pPr>
        <w:spacing w:line="276" w:lineRule="auto"/>
        <w:rPr>
          <w:lang w:eastAsia="en-US"/>
        </w:rPr>
      </w:pPr>
      <w:r w:rsidRPr="004F414A">
        <w:rPr>
          <w:lang w:eastAsia="en-US"/>
        </w:rPr>
        <w:t>Students with a declared disability and not in receipt of DSA can be inferred to have been 3.7% to 12.7% less likely than students with no declared disability to achieve a good degree.</w:t>
      </w:r>
    </w:p>
    <w:p w14:paraId="0993FE5F" w14:textId="77777777" w:rsidR="00F41A24" w:rsidRPr="00827756" w:rsidRDefault="00F41A24" w:rsidP="00F41A24">
      <w:pPr>
        <w:spacing w:before="0" w:line="276" w:lineRule="auto"/>
        <w:rPr>
          <w:highlight w:val="yellow"/>
          <w:lang w:eastAsia="en-US"/>
        </w:rPr>
      </w:pPr>
    </w:p>
    <w:p w14:paraId="0D92292E" w14:textId="77777777" w:rsidR="00F41A24" w:rsidRPr="00C3579D" w:rsidRDefault="00F41A24" w:rsidP="00F41A24">
      <w:pPr>
        <w:pStyle w:val="Heading4"/>
        <w:spacing w:before="0" w:line="276" w:lineRule="auto"/>
        <w:rPr>
          <w:lang w:eastAsia="en-US"/>
        </w:rPr>
      </w:pPr>
      <w:r w:rsidRPr="00C3579D">
        <w:rPr>
          <w:lang w:eastAsia="en-US"/>
        </w:rPr>
        <w:t>POLAR4 and IMD2019</w:t>
      </w:r>
    </w:p>
    <w:p w14:paraId="3B4272B3" w14:textId="77777777" w:rsidR="00F41A24" w:rsidRPr="00C3579D" w:rsidRDefault="00F41A24" w:rsidP="00F41A24">
      <w:pPr>
        <w:spacing w:line="276" w:lineRule="auto"/>
        <w:rPr>
          <w:lang w:eastAsia="en-US"/>
        </w:rPr>
      </w:pPr>
      <w:r w:rsidRPr="00C3579D">
        <w:rPr>
          <w:lang w:eastAsia="en-US"/>
        </w:rPr>
        <w:t>No statistically significant results were observed for the POLAR4 quintiles.</w:t>
      </w:r>
    </w:p>
    <w:p w14:paraId="7F36FE36" w14:textId="77777777" w:rsidR="00F41A24" w:rsidRPr="00C3579D" w:rsidRDefault="00F41A24" w:rsidP="00F41A24">
      <w:pPr>
        <w:spacing w:line="276" w:lineRule="auto"/>
        <w:rPr>
          <w:lang w:eastAsia="en-US"/>
        </w:rPr>
      </w:pPr>
      <w:r w:rsidRPr="00C3579D">
        <w:rPr>
          <w:lang w:eastAsia="en-US"/>
        </w:rPr>
        <w:t>Statistically significant results were observed for 3 IMD2019 quintiles:</w:t>
      </w:r>
    </w:p>
    <w:p w14:paraId="7BC35EDD" w14:textId="77777777" w:rsidR="00F41A24" w:rsidRPr="00C3579D" w:rsidRDefault="00F41A24" w:rsidP="00F41A24">
      <w:pPr>
        <w:pStyle w:val="ListParagraph"/>
        <w:numPr>
          <w:ilvl w:val="0"/>
          <w:numId w:val="34"/>
        </w:numPr>
        <w:spacing w:line="276" w:lineRule="auto"/>
        <w:rPr>
          <w:lang w:eastAsia="en-US"/>
        </w:rPr>
      </w:pPr>
      <w:r w:rsidRPr="00C3579D">
        <w:rPr>
          <w:lang w:eastAsia="en-US"/>
        </w:rPr>
        <w:t>Students from IMD2019 Quintile 3 can be inferred to have been 6.9% to 16.3% more likely to achieve a good degree than students from Quintile 1.</w:t>
      </w:r>
    </w:p>
    <w:p w14:paraId="111B513A" w14:textId="77777777" w:rsidR="00F41A24" w:rsidRPr="00C3579D" w:rsidRDefault="00F41A24" w:rsidP="00F41A24">
      <w:pPr>
        <w:pStyle w:val="ListParagraph"/>
        <w:numPr>
          <w:ilvl w:val="0"/>
          <w:numId w:val="34"/>
        </w:numPr>
        <w:spacing w:line="276" w:lineRule="auto"/>
        <w:rPr>
          <w:lang w:eastAsia="en-US"/>
        </w:rPr>
      </w:pPr>
      <w:r w:rsidRPr="00C3579D">
        <w:rPr>
          <w:lang w:eastAsia="en-US"/>
        </w:rPr>
        <w:t>Students from IMD2019 Quintile 4 can be inferred to have been 12.1% to 20.4% more likely to achieve a good degree than students from Quintile 1.</w:t>
      </w:r>
    </w:p>
    <w:p w14:paraId="6007EB2B" w14:textId="77777777" w:rsidR="00F41A24" w:rsidRPr="00C3579D" w:rsidRDefault="00F41A24" w:rsidP="00F41A24">
      <w:pPr>
        <w:pStyle w:val="ListParagraph"/>
        <w:numPr>
          <w:ilvl w:val="0"/>
          <w:numId w:val="34"/>
        </w:numPr>
        <w:spacing w:line="276" w:lineRule="auto"/>
        <w:rPr>
          <w:lang w:eastAsia="en-US"/>
        </w:rPr>
      </w:pPr>
      <w:r w:rsidRPr="00C3579D">
        <w:rPr>
          <w:lang w:eastAsia="en-US"/>
        </w:rPr>
        <w:t>Students from IMD2019 Quintile 5 can be inferred to have been 12.0% to 20.4% more likely to achieve a good degree than students from Quintile 1.</w:t>
      </w:r>
    </w:p>
    <w:p w14:paraId="2AD5CD4E" w14:textId="77777777" w:rsidR="00F41A24" w:rsidRPr="00827756" w:rsidRDefault="00F41A24" w:rsidP="00F41A24">
      <w:pPr>
        <w:pStyle w:val="ListParagraph"/>
        <w:numPr>
          <w:ilvl w:val="0"/>
          <w:numId w:val="0"/>
        </w:numPr>
        <w:spacing w:before="0" w:line="276" w:lineRule="auto"/>
        <w:ind w:left="720"/>
        <w:rPr>
          <w:highlight w:val="yellow"/>
          <w:lang w:eastAsia="en-US"/>
        </w:rPr>
      </w:pPr>
    </w:p>
    <w:p w14:paraId="6731E667" w14:textId="77777777" w:rsidR="00F41A24" w:rsidRPr="00297549" w:rsidRDefault="00F41A24" w:rsidP="00F41A24">
      <w:pPr>
        <w:pStyle w:val="Heading4"/>
        <w:spacing w:before="0" w:line="276" w:lineRule="auto"/>
        <w:rPr>
          <w:lang w:eastAsia="en-US"/>
        </w:rPr>
      </w:pPr>
      <w:r w:rsidRPr="00297549">
        <w:rPr>
          <w:lang w:eastAsia="en-US"/>
        </w:rPr>
        <w:t>Clearing</w:t>
      </w:r>
    </w:p>
    <w:p w14:paraId="0060D8AF" w14:textId="77777777" w:rsidR="00F41A24" w:rsidRDefault="00F41A24" w:rsidP="00F41A24">
      <w:pPr>
        <w:spacing w:line="276" w:lineRule="auto"/>
        <w:rPr>
          <w:lang w:eastAsia="en-US"/>
        </w:rPr>
      </w:pPr>
      <w:r w:rsidRPr="00297549">
        <w:rPr>
          <w:lang w:eastAsia="en-US"/>
        </w:rPr>
        <w:t>No statistically significant results were observed.</w:t>
      </w:r>
    </w:p>
    <w:p w14:paraId="1E656E32" w14:textId="77777777" w:rsidR="00F41A24" w:rsidRDefault="00F41A24" w:rsidP="00F41A24">
      <w:pPr>
        <w:spacing w:line="276" w:lineRule="auto"/>
        <w:rPr>
          <w:lang w:eastAsia="en-US"/>
        </w:rPr>
      </w:pPr>
    </w:p>
    <w:p w14:paraId="3441259F" w14:textId="77777777" w:rsidR="00F41A24" w:rsidRPr="00F95773" w:rsidRDefault="00F41A24" w:rsidP="00F41A24">
      <w:pPr>
        <w:pStyle w:val="Heading4"/>
        <w:spacing w:before="0" w:line="276" w:lineRule="auto"/>
        <w:rPr>
          <w:lang w:eastAsia="en-US"/>
        </w:rPr>
      </w:pPr>
      <w:r w:rsidRPr="00F95773">
        <w:rPr>
          <w:lang w:eastAsia="en-US"/>
        </w:rPr>
        <w:t>Term-time accommodation</w:t>
      </w:r>
    </w:p>
    <w:p w14:paraId="424D0221" w14:textId="77777777" w:rsidR="00F41A24" w:rsidRPr="00F95773" w:rsidRDefault="00F41A24" w:rsidP="00F41A24">
      <w:pPr>
        <w:spacing w:line="276" w:lineRule="auto"/>
        <w:rPr>
          <w:lang w:eastAsia="en-US"/>
        </w:rPr>
      </w:pPr>
      <w:r w:rsidRPr="00F95773">
        <w:rPr>
          <w:lang w:eastAsia="en-US"/>
        </w:rPr>
        <w:t>Statistically significant results were observed for 2 categories within term-time accommodation:</w:t>
      </w:r>
    </w:p>
    <w:p w14:paraId="1F577CC3" w14:textId="77777777" w:rsidR="00F41A24" w:rsidRPr="00F95773" w:rsidRDefault="00F41A24" w:rsidP="00F41A24">
      <w:pPr>
        <w:pStyle w:val="ListParagraph"/>
        <w:numPr>
          <w:ilvl w:val="0"/>
          <w:numId w:val="34"/>
        </w:numPr>
        <w:spacing w:line="276" w:lineRule="auto"/>
        <w:rPr>
          <w:lang w:eastAsia="en-US"/>
        </w:rPr>
      </w:pPr>
      <w:r w:rsidRPr="00F95773">
        <w:rPr>
          <w:lang w:eastAsia="en-US"/>
        </w:rPr>
        <w:lastRenderedPageBreak/>
        <w:t>Students who were living in their parental home can be inferred to have been 8.3% to 23.5% less likely than those living in University accommodation to achieve a good degree.</w:t>
      </w:r>
    </w:p>
    <w:p w14:paraId="7A5A1755" w14:textId="77777777" w:rsidR="00F41A24" w:rsidRPr="00F95773" w:rsidRDefault="00F41A24" w:rsidP="00F41A24">
      <w:pPr>
        <w:pStyle w:val="ListParagraph"/>
        <w:numPr>
          <w:ilvl w:val="0"/>
          <w:numId w:val="34"/>
        </w:numPr>
        <w:spacing w:line="276" w:lineRule="auto"/>
        <w:rPr>
          <w:lang w:eastAsia="en-US"/>
        </w:rPr>
      </w:pPr>
      <w:r w:rsidRPr="00F95773">
        <w:rPr>
          <w:lang w:eastAsia="en-US"/>
        </w:rPr>
        <w:t>Students who were living in other rented accommodation can be inferred to have been 5.8% to 14.2% less likely than those living in University accommodation to achieve a good degree.</w:t>
      </w:r>
    </w:p>
    <w:p w14:paraId="7334A0D8" w14:textId="61D85772" w:rsidR="00B103A4" w:rsidRPr="00B103A4" w:rsidRDefault="00B103A4" w:rsidP="00B103A4">
      <w:pPr>
        <w:rPr>
          <w:lang w:eastAsia="en-US"/>
        </w:rPr>
      </w:pPr>
    </w:p>
    <w:p w14:paraId="2435ACAB" w14:textId="36F3DB30" w:rsidR="00E1441C" w:rsidRPr="000F49D3" w:rsidRDefault="00E1441C" w:rsidP="00E1441C">
      <w:pPr>
        <w:pStyle w:val="Heading1"/>
      </w:pPr>
      <w:bookmarkStart w:id="33" w:name="_Toc225952945"/>
      <w:r w:rsidRPr="000F49D3">
        <w:t>Conclusions &amp; recommendations</w:t>
      </w:r>
      <w:bookmarkEnd w:id="33"/>
    </w:p>
    <w:p w14:paraId="3A2DD06C" w14:textId="60AE3E35" w:rsidR="00E1441C" w:rsidRPr="000F49D3" w:rsidRDefault="00E1441C" w:rsidP="00B601F7">
      <w:pPr>
        <w:pStyle w:val="Heading2"/>
      </w:pPr>
      <w:bookmarkStart w:id="34" w:name="_Toc225952946"/>
      <w:r w:rsidRPr="000F49D3">
        <w:t>Conclusions</w:t>
      </w:r>
      <w:bookmarkEnd w:id="34"/>
    </w:p>
    <w:p w14:paraId="61CF8C3B" w14:textId="79EDB0D3" w:rsidR="00694997" w:rsidRDefault="00694997" w:rsidP="00694997">
      <w:r>
        <w:t>Survey data from 2022/23 and 2023/24 shows consistent improvements in students’ ability to participate in university life, concentrate on studies, and manage financial anxiety, with mean scores rising across all key indicators. Qualitative feedback reinforces these findings, highlighting reduced stress and improved sense of belonging. However, the data also suggests that a significant proportion of students continue to rely on paid work during term time, with many reporting that employment remains essential for financial continuity. This points to ongoing financial pressures despite bursary support.</w:t>
      </w:r>
    </w:p>
    <w:p w14:paraId="72439044" w14:textId="463BC267" w:rsidR="00694997" w:rsidRDefault="00694997" w:rsidP="00694997">
      <w:r>
        <w:t>While the bursary changes aim to close awarding gaps and reduce financial burden, long-term outcomes such as degree attainment cannot yet be assessed. Limitations include the absence of 2024/25 survey results at this stage</w:t>
      </w:r>
      <w:r w:rsidR="00A14052">
        <w:t xml:space="preserve"> and </w:t>
      </w:r>
      <w:r w:rsidR="00C72FC6">
        <w:t xml:space="preserve">the </w:t>
      </w:r>
      <w:r w:rsidR="00D84C46">
        <w:t>continuation</w:t>
      </w:r>
      <w:r w:rsidR="00A92073">
        <w:t xml:space="preserve"> and awarding gap</w:t>
      </w:r>
      <w:r w:rsidR="00D84C46">
        <w:t xml:space="preserve"> </w:t>
      </w:r>
      <w:r w:rsidR="00C27263">
        <w:t xml:space="preserve">data </w:t>
      </w:r>
      <w:r w:rsidR="008E5FD3">
        <w:t>are</w:t>
      </w:r>
      <w:r w:rsidR="001E6300">
        <w:t xml:space="preserve"> not available </w:t>
      </w:r>
      <w:r w:rsidR="00D84C46">
        <w:t>on the 2024/25 cohort at this time</w:t>
      </w:r>
      <w:r>
        <w:t>, which restricts the ability to draw definitive causal conclusions.</w:t>
      </w:r>
    </w:p>
    <w:p w14:paraId="0AA190D6" w14:textId="3A6F9608" w:rsidR="00E1441C" w:rsidRDefault="00694997" w:rsidP="00694997">
      <w:r>
        <w:t>Overall, the evidence suggests that the revised bursary structure is</w:t>
      </w:r>
      <w:r w:rsidR="002423F8">
        <w:t xml:space="preserve"> contributing </w:t>
      </w:r>
      <w:r w:rsidR="00301592">
        <w:t>to the University’s efforts to</w:t>
      </w:r>
      <w:r>
        <w:t xml:space="preserve"> meeting its objectives of alleviating financial anxiety and supporting engagement, but additional measures may be needed to address persistent reliance on paid work and ensure sustained academic success.</w:t>
      </w:r>
    </w:p>
    <w:p w14:paraId="733E0DCC" w14:textId="76651A8F" w:rsidR="00E1441C" w:rsidRDefault="00E1441C" w:rsidP="00B601F7">
      <w:pPr>
        <w:pStyle w:val="Heading2"/>
      </w:pPr>
      <w:bookmarkStart w:id="35" w:name="_Toc225952947"/>
      <w:r>
        <w:t>Recommendations</w:t>
      </w:r>
      <w:bookmarkEnd w:id="35"/>
    </w:p>
    <w:p w14:paraId="78CF4FF8" w14:textId="77777777" w:rsidR="00553C01" w:rsidRPr="00553C01" w:rsidRDefault="00553C01" w:rsidP="00553C01">
      <w:pPr>
        <w:rPr>
          <w:lang w:eastAsia="en-US"/>
        </w:rPr>
      </w:pPr>
    </w:p>
    <w:p w14:paraId="207EA494" w14:textId="18F7D314" w:rsidR="00793935" w:rsidRPr="00B601F7" w:rsidRDefault="00793935" w:rsidP="00B601F7">
      <w:pPr>
        <w:rPr>
          <w:b/>
          <w:bCs/>
        </w:rPr>
      </w:pPr>
      <w:r w:rsidRPr="00B601F7">
        <w:rPr>
          <w:b/>
          <w:bCs/>
        </w:rPr>
        <w:t>Continue Monitoring and Expand Data Collection</w:t>
      </w:r>
    </w:p>
    <w:p w14:paraId="336380A1" w14:textId="173D1C3D" w:rsidR="006407A6" w:rsidRDefault="00793935" w:rsidP="00883B63">
      <w:pPr>
        <w:numPr>
          <w:ilvl w:val="0"/>
          <w:numId w:val="22"/>
        </w:numPr>
      </w:pPr>
      <w:r w:rsidRPr="00793935">
        <w:t>Incorporate 2024/25 survey results and future years to strengthen longitudinal analysis.</w:t>
      </w:r>
    </w:p>
    <w:p w14:paraId="29E44432" w14:textId="74C7E32F" w:rsidR="000D0E5B" w:rsidRPr="00B601F7" w:rsidRDefault="00045527" w:rsidP="00B601F7">
      <w:pPr>
        <w:rPr>
          <w:b/>
          <w:bCs/>
        </w:rPr>
      </w:pPr>
      <w:r w:rsidRPr="00B601F7">
        <w:rPr>
          <w:b/>
          <w:bCs/>
        </w:rPr>
        <w:t xml:space="preserve">Explore </w:t>
      </w:r>
      <w:r w:rsidR="000D0E5B" w:rsidRPr="00B601F7">
        <w:rPr>
          <w:b/>
          <w:bCs/>
        </w:rPr>
        <w:t xml:space="preserve">Potential Insights from </w:t>
      </w:r>
      <w:proofErr w:type="spellStart"/>
      <w:r w:rsidR="000D0E5B" w:rsidRPr="00B601F7">
        <w:rPr>
          <w:b/>
          <w:bCs/>
        </w:rPr>
        <w:t>Blackbullion’s</w:t>
      </w:r>
      <w:proofErr w:type="spellEnd"/>
      <w:r w:rsidR="000D0E5B" w:rsidRPr="00B601F7">
        <w:rPr>
          <w:b/>
          <w:bCs/>
        </w:rPr>
        <w:t xml:space="preserve"> Retain IQ Tool</w:t>
      </w:r>
    </w:p>
    <w:p w14:paraId="0BD7D6B5" w14:textId="0B4A7263" w:rsidR="00E614D3" w:rsidRDefault="00410551" w:rsidP="00E614D3">
      <w:r w:rsidRPr="00410551">
        <w:t>Retain IQ is a</w:t>
      </w:r>
      <w:r w:rsidR="00746E49">
        <w:t xml:space="preserve"> pilot</w:t>
      </w:r>
      <w:r w:rsidRPr="00410551">
        <w:t xml:space="preserve"> early warning system developed by </w:t>
      </w:r>
      <w:proofErr w:type="spellStart"/>
      <w:r w:rsidRPr="00410551">
        <w:t>Blackbullion</w:t>
      </w:r>
      <w:proofErr w:type="spellEnd"/>
      <w:r w:rsidRPr="00410551">
        <w:t xml:space="preserve">, helping us to identify and prevent students at risk of dropping out due to </w:t>
      </w:r>
      <w:r>
        <w:t>financial difficulties</w:t>
      </w:r>
      <w:r w:rsidRPr="00410551">
        <w:t>.</w:t>
      </w:r>
      <w:r>
        <w:t xml:space="preserve"> This is being slowly introduced at Reading</w:t>
      </w:r>
      <w:r w:rsidR="00746E49">
        <w:t>.</w:t>
      </w:r>
    </w:p>
    <w:p w14:paraId="7E99D6A1" w14:textId="55DFF571" w:rsidR="008C318C" w:rsidRPr="00793935" w:rsidRDefault="004D247B" w:rsidP="00793935">
      <w:pPr>
        <w:numPr>
          <w:ilvl w:val="0"/>
          <w:numId w:val="22"/>
        </w:numPr>
      </w:pPr>
      <w:r>
        <w:t xml:space="preserve">Include </w:t>
      </w:r>
      <w:r w:rsidRPr="004D247B">
        <w:t xml:space="preserve">predictive analytics from </w:t>
      </w:r>
      <w:proofErr w:type="spellStart"/>
      <w:r w:rsidR="00F444D2">
        <w:t>Blackbullions</w:t>
      </w:r>
      <w:proofErr w:type="spellEnd"/>
      <w:r w:rsidR="00F444D2">
        <w:t xml:space="preserve"> </w:t>
      </w:r>
      <w:r w:rsidRPr="004D247B">
        <w:t>Retain</w:t>
      </w:r>
      <w:r w:rsidR="00410551">
        <w:t xml:space="preserve"> </w:t>
      </w:r>
      <w:r w:rsidRPr="004D247B">
        <w:t xml:space="preserve">IQ to identify students at higher risk of financial stress or withdrawal early in the academic </w:t>
      </w:r>
      <w:r w:rsidR="00627803">
        <w:t>year</w:t>
      </w:r>
      <w:r w:rsidRPr="004D247B">
        <w:t>.</w:t>
      </w:r>
      <w:r w:rsidR="00410551">
        <w:t xml:space="preserve"> </w:t>
      </w:r>
    </w:p>
    <w:p w14:paraId="5AE55D51" w14:textId="19605181" w:rsidR="00F47287" w:rsidRPr="00793935" w:rsidRDefault="00F47287" w:rsidP="00793935">
      <w:pPr>
        <w:numPr>
          <w:ilvl w:val="0"/>
          <w:numId w:val="22"/>
        </w:numPr>
      </w:pPr>
      <w:r>
        <w:lastRenderedPageBreak/>
        <w:t>Explore combining</w:t>
      </w:r>
      <w:r w:rsidRPr="00F47287">
        <w:t xml:space="preserve"> Retain</w:t>
      </w:r>
      <w:r w:rsidR="00410551">
        <w:t xml:space="preserve"> </w:t>
      </w:r>
      <w:r w:rsidRPr="00F47287">
        <w:t xml:space="preserve">IQ data with survey and progression metrics to </w:t>
      </w:r>
      <w:r w:rsidR="00D273BB">
        <w:t>support</w:t>
      </w:r>
      <w:r w:rsidRPr="00F47287">
        <w:t xml:space="preserve"> creat</w:t>
      </w:r>
      <w:r w:rsidR="00D273BB">
        <w:t>ing</w:t>
      </w:r>
      <w:r w:rsidRPr="00F47287">
        <w:t xml:space="preserve"> a holistic view of student needs and improve retention strategies.</w:t>
      </w:r>
    </w:p>
    <w:p w14:paraId="0F661BDC" w14:textId="76695491" w:rsidR="00793935" w:rsidRPr="00B601F7" w:rsidRDefault="00793935" w:rsidP="00B601F7">
      <w:pPr>
        <w:rPr>
          <w:b/>
          <w:bCs/>
        </w:rPr>
      </w:pPr>
      <w:r w:rsidRPr="00B601F7">
        <w:rPr>
          <w:b/>
          <w:bCs/>
        </w:rPr>
        <w:t>Target Support for Students with High Work Commitments</w:t>
      </w:r>
    </w:p>
    <w:p w14:paraId="5B47887C" w14:textId="25495748" w:rsidR="00793935" w:rsidRPr="00793935" w:rsidRDefault="00793935" w:rsidP="00793935">
      <w:pPr>
        <w:numPr>
          <w:ilvl w:val="0"/>
          <w:numId w:val="23"/>
        </w:numPr>
      </w:pPr>
      <w:r w:rsidRPr="00793935">
        <w:t xml:space="preserve">Explore additional interventions for students working 15+ hours per week during term time, as survey data shows persistent reliance on paid work despite bursary support. </w:t>
      </w:r>
    </w:p>
    <w:p w14:paraId="624BD469" w14:textId="77777777" w:rsidR="00793935" w:rsidRPr="00793935" w:rsidRDefault="00793935" w:rsidP="00793935">
      <w:pPr>
        <w:numPr>
          <w:ilvl w:val="0"/>
          <w:numId w:val="23"/>
        </w:numPr>
      </w:pPr>
      <w:r w:rsidRPr="00793935">
        <w:t>Consider flexible bursary top-ups or tailored hardship funding for those most affected.</w:t>
      </w:r>
    </w:p>
    <w:p w14:paraId="1220B868" w14:textId="41DE489E" w:rsidR="00793935" w:rsidRPr="00B601F7" w:rsidRDefault="00793935" w:rsidP="00B601F7">
      <w:pPr>
        <w:rPr>
          <w:b/>
          <w:bCs/>
        </w:rPr>
      </w:pPr>
      <w:r w:rsidRPr="00B601F7">
        <w:rPr>
          <w:b/>
          <w:bCs/>
        </w:rPr>
        <w:t>Enhance Communication and Engagement</w:t>
      </w:r>
    </w:p>
    <w:p w14:paraId="0C4F35B7" w14:textId="31DEF380" w:rsidR="00793935" w:rsidRPr="00793935" w:rsidRDefault="00793935" w:rsidP="00793935">
      <w:pPr>
        <w:numPr>
          <w:ilvl w:val="0"/>
          <w:numId w:val="24"/>
        </w:numPr>
      </w:pPr>
      <w:r w:rsidRPr="00793935">
        <w:t>Promote awareness of financial support options and budgeting resources</w:t>
      </w:r>
      <w:r w:rsidR="00D47EFB">
        <w:t xml:space="preserve"> in partnership with </w:t>
      </w:r>
      <w:proofErr w:type="spellStart"/>
      <w:r w:rsidR="00D47EFB">
        <w:t>Blackbullion</w:t>
      </w:r>
      <w:proofErr w:type="spellEnd"/>
      <w:r w:rsidR="00E25B69">
        <w:t xml:space="preserve"> and University Departments/Schools</w:t>
      </w:r>
      <w:r w:rsidRPr="00793935">
        <w:t xml:space="preserve"> to reduce anxiety and reliance on employment.</w:t>
      </w:r>
    </w:p>
    <w:p w14:paraId="4E18B7A0" w14:textId="4CF6AEB5" w:rsidR="00793935" w:rsidRDefault="00793935" w:rsidP="00D55263">
      <w:pPr>
        <w:numPr>
          <w:ilvl w:val="0"/>
          <w:numId w:val="24"/>
        </w:numPr>
      </w:pPr>
      <w:r w:rsidRPr="00793935">
        <w:t>Use qualitative feedback themes (e.g. sense of belonging, reduced stress) in communications to highlight the bursary’s positive impact.</w:t>
      </w:r>
    </w:p>
    <w:p w14:paraId="1ED84FD9" w14:textId="6985D3BC" w:rsidR="00793935" w:rsidRPr="00B601F7" w:rsidRDefault="00793935" w:rsidP="00B601F7">
      <w:pPr>
        <w:rPr>
          <w:b/>
          <w:bCs/>
        </w:rPr>
      </w:pPr>
      <w:r w:rsidRPr="00B601F7">
        <w:rPr>
          <w:b/>
          <w:bCs/>
        </w:rPr>
        <w:t>Collaborate with Planning and Strategy Office</w:t>
      </w:r>
    </w:p>
    <w:p w14:paraId="6B7BF93E" w14:textId="43478542" w:rsidR="00793935" w:rsidRPr="00793935" w:rsidRDefault="00793935" w:rsidP="00793935">
      <w:pPr>
        <w:numPr>
          <w:ilvl w:val="0"/>
          <w:numId w:val="25"/>
        </w:numPr>
      </w:pPr>
      <w:r w:rsidRPr="00793935">
        <w:t xml:space="preserve">Ensure </w:t>
      </w:r>
      <w:r w:rsidR="003B2D8C" w:rsidRPr="00793935">
        <w:t>addition</w:t>
      </w:r>
      <w:r w:rsidRPr="00793935">
        <w:t xml:space="preserve"> of </w:t>
      </w:r>
      <w:proofErr w:type="spellStart"/>
      <w:r w:rsidRPr="00793935">
        <w:t>OfS</w:t>
      </w:r>
      <w:proofErr w:type="spellEnd"/>
      <w:r w:rsidRPr="00793935">
        <w:t xml:space="preserve"> Financial Toolkit analysis in early 2026 to inform </w:t>
      </w:r>
      <w:r w:rsidR="00AC248F">
        <w:t>evaluation</w:t>
      </w:r>
      <w:r w:rsidR="00253FEA">
        <w:t xml:space="preserve"> of</w:t>
      </w:r>
      <w:r w:rsidRPr="00793935">
        <w:t xml:space="preserve"> bursary </w:t>
      </w:r>
      <w:r w:rsidR="00253FEA">
        <w:t>effectiveness</w:t>
      </w:r>
      <w:r w:rsidRPr="00793935">
        <w:t xml:space="preserve">. </w:t>
      </w:r>
    </w:p>
    <w:p w14:paraId="0E15AF52" w14:textId="7063AE30" w:rsidR="00793935" w:rsidRPr="00B601F7" w:rsidRDefault="00793935" w:rsidP="00B601F7">
      <w:pPr>
        <w:rPr>
          <w:b/>
          <w:bCs/>
        </w:rPr>
      </w:pPr>
      <w:r w:rsidRPr="00B601F7">
        <w:rPr>
          <w:b/>
          <w:bCs/>
        </w:rPr>
        <w:t>Review Bursary Structure for Future Cohorts</w:t>
      </w:r>
    </w:p>
    <w:p w14:paraId="70F39090" w14:textId="12E2CF24" w:rsidR="00793935" w:rsidRPr="00793935" w:rsidRDefault="00915649" w:rsidP="00793935">
      <w:pPr>
        <w:numPr>
          <w:ilvl w:val="0"/>
          <w:numId w:val="26"/>
        </w:numPr>
      </w:pPr>
      <w:r>
        <w:t>Keep under review, evaluate and a</w:t>
      </w:r>
      <w:r w:rsidR="00793935" w:rsidRPr="00793935">
        <w:t>ssess whether current eligibility criteria and award levels remain fit for purpose in addressing financial pressures and closing awarding gaps.</w:t>
      </w:r>
    </w:p>
    <w:p w14:paraId="4AFDD1DB" w14:textId="77777777" w:rsidR="00793935" w:rsidRPr="00793935" w:rsidRDefault="00793935" w:rsidP="00793935">
      <w:pPr>
        <w:numPr>
          <w:ilvl w:val="0"/>
          <w:numId w:val="26"/>
        </w:numPr>
      </w:pPr>
      <w:r w:rsidRPr="00793935">
        <w:t>Consider piloting additional support for commuter students and Black heritage students, as these groups are specifically highlighted in the intervention design.</w:t>
      </w:r>
    </w:p>
    <w:p w14:paraId="2EA443D2" w14:textId="0668ADFB" w:rsidR="00E1441C" w:rsidRDefault="00E1441C" w:rsidP="00E1441C"/>
    <w:p w14:paraId="12C106D0" w14:textId="537AD70E" w:rsidR="00E1441C" w:rsidRDefault="00AC330C" w:rsidP="0015425F">
      <w:pPr>
        <w:spacing w:line="276" w:lineRule="auto"/>
      </w:pPr>
      <w:r w:rsidRPr="00537613">
        <w:t xml:space="preserve">The next financial support evaluation analysis will be undertaken after submission of the 2025/26 student record, which is anticipated in late 2026 to early 2027. The next analysis will reflect changes to bursary criteria from 2024/25 entry, which include additional criteria for the Reading Bursary of IMD/Polar/Tundra as well as a Black Heritage top up to the bursary. </w:t>
      </w:r>
    </w:p>
    <w:p w14:paraId="18C8A292" w14:textId="315D9A7E" w:rsidR="004A5486" w:rsidRDefault="004A5486" w:rsidP="00B601F7">
      <w:pPr>
        <w:pStyle w:val="Heading1"/>
      </w:pPr>
      <w:bookmarkStart w:id="36" w:name="_Toc225952948"/>
      <w:r>
        <w:t>Notes</w:t>
      </w:r>
      <w:bookmarkEnd w:id="36"/>
    </w:p>
    <w:p w14:paraId="64117E2C" w14:textId="421307E5" w:rsidR="004A5486" w:rsidRDefault="004A5486" w:rsidP="004A5486">
      <w:r>
        <w:t>This report has been reviewed by</w:t>
      </w:r>
      <w:r w:rsidR="002D623D">
        <w:t xml:space="preserve"> members of</w:t>
      </w:r>
      <w:r>
        <w:t xml:space="preserve"> the </w:t>
      </w:r>
      <w:r w:rsidR="002D623D">
        <w:t>Access and Participation Evaluation Subcommittee (APES</w:t>
      </w:r>
      <w:r w:rsidR="006407A6">
        <w:t>)</w:t>
      </w:r>
      <w:r w:rsidR="008D0325">
        <w:t>.</w:t>
      </w:r>
    </w:p>
    <w:p w14:paraId="3BE6E904" w14:textId="77777777" w:rsidR="00225E1B" w:rsidRDefault="00225E1B" w:rsidP="00DD43FF"/>
    <w:p w14:paraId="18D7216B" w14:textId="4C991F6F" w:rsidR="00444E64" w:rsidRDefault="00444E64" w:rsidP="00B601F7">
      <w:pPr>
        <w:pStyle w:val="Heading1"/>
      </w:pPr>
      <w:bookmarkStart w:id="37" w:name="_Toc225952949"/>
      <w:r>
        <w:lastRenderedPageBreak/>
        <w:t>Appendix</w:t>
      </w:r>
      <w:r w:rsidR="008D0325">
        <w:t xml:space="preserve"> - Variables</w:t>
      </w:r>
      <w:bookmarkEnd w:id="37"/>
    </w:p>
    <w:p w14:paraId="79BCD476" w14:textId="120319C8" w:rsidR="001A52F7" w:rsidRPr="001A52F7" w:rsidRDefault="001A52F7" w:rsidP="001A52F7">
      <w:pPr>
        <w:rPr>
          <w:lang w:eastAsia="en-US"/>
        </w:rPr>
      </w:pPr>
      <w:r>
        <w:rPr>
          <w:lang w:eastAsia="en-US"/>
        </w:rPr>
        <w:t xml:space="preserve">Additional </w:t>
      </w:r>
      <w:r w:rsidR="00A616E3">
        <w:rPr>
          <w:lang w:eastAsia="en-US"/>
        </w:rPr>
        <w:t>data on</w:t>
      </w:r>
      <w:r w:rsidR="00A616E3" w:rsidRPr="00A616E3">
        <w:rPr>
          <w:rFonts w:ascii="Aptos" w:hAnsi="Aptos" w:cs="Aptos"/>
          <w:color w:val="000000"/>
          <w:szCs w:val="24"/>
        </w:rPr>
        <w:t xml:space="preserve"> </w:t>
      </w:r>
      <w:r w:rsidR="00A616E3" w:rsidRPr="00A616E3">
        <w:rPr>
          <w:lang w:eastAsia="en-US"/>
        </w:rPr>
        <w:t xml:space="preserve">all the available groupings for each of the categorical control variables that were included in the </w:t>
      </w:r>
      <w:r w:rsidR="00A616E3">
        <w:rPr>
          <w:lang w:eastAsia="en-US"/>
        </w:rPr>
        <w:t xml:space="preserve">statistical </w:t>
      </w:r>
      <w:r w:rsidR="00A616E3" w:rsidRPr="00A616E3">
        <w:rPr>
          <w:lang w:eastAsia="en-US"/>
        </w:rPr>
        <w:t>analysis. </w:t>
      </w:r>
    </w:p>
    <w:tbl>
      <w:tblPr>
        <w:tblStyle w:val="UoRTable"/>
        <w:tblW w:w="5000" w:type="pct"/>
        <w:tblBorders>
          <w:left w:val="single" w:sz="4" w:space="0" w:color="auto"/>
          <w:right w:val="single" w:sz="4" w:space="0" w:color="auto"/>
          <w:insideV w:val="single" w:sz="4" w:space="0" w:color="auto"/>
        </w:tblBorders>
        <w:tblLook w:val="04A0" w:firstRow="1" w:lastRow="0" w:firstColumn="1" w:lastColumn="0" w:noHBand="0" w:noVBand="1"/>
      </w:tblPr>
      <w:tblGrid>
        <w:gridCol w:w="3435"/>
        <w:gridCol w:w="6023"/>
      </w:tblGrid>
      <w:tr w:rsidR="001A52F7" w:rsidRPr="00B27725" w14:paraId="42100519" w14:textId="77777777" w:rsidTr="00FE3A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6" w:type="pct"/>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69AB4743" w14:textId="77777777" w:rsidR="001A52F7" w:rsidRPr="00B27725" w:rsidRDefault="001A52F7" w:rsidP="00372DAE">
            <w:pPr>
              <w:spacing w:before="0" w:line="240" w:lineRule="auto"/>
              <w:rPr>
                <w:rFonts w:cs="Arial"/>
                <w:bCs/>
                <w:color w:val="FFFFFF" w:themeColor="background1"/>
                <w:szCs w:val="24"/>
              </w:rPr>
            </w:pPr>
            <w:r w:rsidRPr="00B27725">
              <w:rPr>
                <w:rFonts w:cs="Arial"/>
                <w:bCs/>
                <w:color w:val="FFFFFF" w:themeColor="background1"/>
                <w:szCs w:val="24"/>
              </w:rPr>
              <w:t>Field Description</w:t>
            </w:r>
          </w:p>
        </w:tc>
        <w:tc>
          <w:tcPr>
            <w:tcW w:w="3934" w:type="pct"/>
            <w:tcBorders>
              <w:top w:val="none" w:sz="0" w:space="0" w:color="auto"/>
              <w:left w:val="none" w:sz="0" w:space="0" w:color="auto"/>
              <w:bottom w:val="none" w:sz="0" w:space="0" w:color="auto"/>
              <w:right w:val="none" w:sz="0" w:space="0" w:color="auto"/>
              <w:tl2br w:val="none" w:sz="0" w:space="0" w:color="auto"/>
              <w:tr2bl w:val="none" w:sz="0" w:space="0" w:color="auto"/>
            </w:tcBorders>
            <w:noWrap/>
            <w:hideMark/>
          </w:tcPr>
          <w:p w14:paraId="6AD9D6BD" w14:textId="77777777" w:rsidR="001A52F7" w:rsidRPr="00B27725" w:rsidRDefault="001A52F7" w:rsidP="00372DAE">
            <w:pPr>
              <w:spacing w:before="0" w:line="240" w:lineRule="auto"/>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4"/>
              </w:rPr>
            </w:pPr>
            <w:r w:rsidRPr="00B27725">
              <w:rPr>
                <w:rFonts w:cs="Arial"/>
                <w:bCs/>
                <w:color w:val="FFFFFF" w:themeColor="background1"/>
                <w:szCs w:val="24"/>
              </w:rPr>
              <w:t>Value Description</w:t>
            </w:r>
          </w:p>
        </w:tc>
      </w:tr>
      <w:tr w:rsidR="001A52F7" w:rsidRPr="00B27725" w14:paraId="4690DC03"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BA07468" w14:textId="77777777" w:rsidR="001A52F7" w:rsidRPr="00B27725" w:rsidRDefault="001A52F7" w:rsidP="00372DAE">
            <w:pPr>
              <w:spacing w:before="0" w:line="240" w:lineRule="auto"/>
              <w:rPr>
                <w:rFonts w:cs="Arial"/>
                <w:color w:val="000000"/>
                <w:szCs w:val="24"/>
              </w:rPr>
            </w:pPr>
            <w:r w:rsidRPr="00B27725">
              <w:rPr>
                <w:rFonts w:cs="Arial"/>
                <w:color w:val="000000"/>
                <w:szCs w:val="24"/>
              </w:rPr>
              <w:t>Age on Entry</w:t>
            </w:r>
          </w:p>
        </w:tc>
        <w:tc>
          <w:tcPr>
            <w:tcW w:w="3934" w:type="pct"/>
            <w:noWrap/>
            <w:hideMark/>
          </w:tcPr>
          <w:p w14:paraId="559EC24D"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20 years and younger</w:t>
            </w:r>
          </w:p>
        </w:tc>
      </w:tr>
      <w:tr w:rsidR="001A52F7" w:rsidRPr="00B27725" w14:paraId="27948BCC"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E554957" w14:textId="77777777" w:rsidR="001A52F7" w:rsidRPr="00B27725" w:rsidRDefault="001A52F7" w:rsidP="00372DAE">
            <w:pPr>
              <w:spacing w:before="0" w:line="240" w:lineRule="auto"/>
              <w:rPr>
                <w:rFonts w:cs="Arial"/>
                <w:color w:val="000000"/>
                <w:szCs w:val="24"/>
              </w:rPr>
            </w:pPr>
            <w:r w:rsidRPr="00B27725">
              <w:rPr>
                <w:rFonts w:cs="Arial"/>
                <w:color w:val="000000"/>
                <w:szCs w:val="24"/>
              </w:rPr>
              <w:t>Age on Entry</w:t>
            </w:r>
          </w:p>
        </w:tc>
        <w:tc>
          <w:tcPr>
            <w:tcW w:w="3934" w:type="pct"/>
            <w:noWrap/>
            <w:hideMark/>
          </w:tcPr>
          <w:p w14:paraId="68EB57CF"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21 years to 24 years</w:t>
            </w:r>
          </w:p>
        </w:tc>
      </w:tr>
      <w:tr w:rsidR="001A52F7" w:rsidRPr="00B27725" w14:paraId="374FADD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8C3E4A8" w14:textId="77777777" w:rsidR="001A52F7" w:rsidRPr="00B27725" w:rsidRDefault="001A52F7" w:rsidP="00372DAE">
            <w:pPr>
              <w:spacing w:before="0" w:line="240" w:lineRule="auto"/>
              <w:rPr>
                <w:rFonts w:cs="Arial"/>
                <w:color w:val="000000"/>
                <w:szCs w:val="24"/>
              </w:rPr>
            </w:pPr>
            <w:r w:rsidRPr="00B27725">
              <w:rPr>
                <w:rFonts w:cs="Arial"/>
                <w:color w:val="000000"/>
                <w:szCs w:val="24"/>
              </w:rPr>
              <w:t>Age on Entry</w:t>
            </w:r>
          </w:p>
        </w:tc>
        <w:tc>
          <w:tcPr>
            <w:tcW w:w="3934" w:type="pct"/>
            <w:noWrap/>
            <w:hideMark/>
          </w:tcPr>
          <w:p w14:paraId="5E27C8D0"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25 years to 29 years</w:t>
            </w:r>
          </w:p>
        </w:tc>
      </w:tr>
      <w:tr w:rsidR="001A52F7" w:rsidRPr="00B27725" w14:paraId="7DE2F7D3"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6CD5951" w14:textId="77777777" w:rsidR="001A52F7" w:rsidRPr="00B27725" w:rsidRDefault="001A52F7" w:rsidP="00372DAE">
            <w:pPr>
              <w:spacing w:before="0" w:line="240" w:lineRule="auto"/>
              <w:rPr>
                <w:rFonts w:cs="Arial"/>
                <w:color w:val="000000"/>
                <w:szCs w:val="24"/>
              </w:rPr>
            </w:pPr>
            <w:r w:rsidRPr="00B27725">
              <w:rPr>
                <w:rFonts w:cs="Arial"/>
                <w:color w:val="000000"/>
                <w:szCs w:val="24"/>
              </w:rPr>
              <w:t>Age on Entry</w:t>
            </w:r>
          </w:p>
        </w:tc>
        <w:tc>
          <w:tcPr>
            <w:tcW w:w="3934" w:type="pct"/>
            <w:noWrap/>
            <w:hideMark/>
          </w:tcPr>
          <w:p w14:paraId="0EE83918"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30 years and older</w:t>
            </w:r>
          </w:p>
        </w:tc>
      </w:tr>
      <w:tr w:rsidR="001A52F7" w:rsidRPr="00B27725" w14:paraId="5C81081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74A5D01"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4ADEB2E0"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Agriculture, food and related studies</w:t>
            </w:r>
          </w:p>
        </w:tc>
      </w:tr>
      <w:tr w:rsidR="001A52F7" w:rsidRPr="00B27725" w14:paraId="4C6FCA31"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D20A748"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48BE6D3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Architecture, building and planning</w:t>
            </w:r>
          </w:p>
        </w:tc>
      </w:tr>
      <w:tr w:rsidR="001A52F7" w:rsidRPr="00B27725" w14:paraId="4C0E6FA9"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7AC8806"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30EB404C"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Biological and sport sciences</w:t>
            </w:r>
          </w:p>
        </w:tc>
      </w:tr>
      <w:tr w:rsidR="001A52F7" w:rsidRPr="00B27725" w14:paraId="0F66E18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0DE8E3E"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5503D74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Business and management</w:t>
            </w:r>
          </w:p>
        </w:tc>
      </w:tr>
      <w:tr w:rsidR="001A52F7" w:rsidRPr="00B27725" w14:paraId="38FF9C35"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8E732B0"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589075AF"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Combined and general studies</w:t>
            </w:r>
          </w:p>
        </w:tc>
      </w:tr>
      <w:tr w:rsidR="001A52F7" w:rsidRPr="00B27725" w14:paraId="417C86C2"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41186ABB"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60C35ABA"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Computing</w:t>
            </w:r>
          </w:p>
        </w:tc>
      </w:tr>
      <w:tr w:rsidR="001A52F7" w:rsidRPr="00B27725" w14:paraId="78DEB6A8"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14A9D9C"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068D616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Design, and creative and performing arts</w:t>
            </w:r>
          </w:p>
        </w:tc>
      </w:tr>
      <w:tr w:rsidR="001A52F7" w:rsidRPr="00B27725" w14:paraId="1E61CDE1"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312501B"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4097E610"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Education and teaching</w:t>
            </w:r>
          </w:p>
        </w:tc>
      </w:tr>
      <w:tr w:rsidR="001A52F7" w:rsidRPr="00B27725" w14:paraId="354AA879"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923F0F4"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62DF8DAA"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Engineering and technology</w:t>
            </w:r>
          </w:p>
        </w:tc>
      </w:tr>
      <w:tr w:rsidR="001A52F7" w:rsidRPr="00B27725" w14:paraId="77790E04"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C2DEB26"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58A2C554"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Geography, earth and environmental studies</w:t>
            </w:r>
          </w:p>
        </w:tc>
      </w:tr>
      <w:tr w:rsidR="001A52F7" w:rsidRPr="00B27725" w14:paraId="43FE2C97"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A1B9BDF"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1037B3EC"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Historical, philosophical and religious studies</w:t>
            </w:r>
          </w:p>
        </w:tc>
      </w:tr>
      <w:tr w:rsidR="001A52F7" w:rsidRPr="00B27725" w14:paraId="2AA51BCF"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9017E1E"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194FEF8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Language and area studies</w:t>
            </w:r>
          </w:p>
        </w:tc>
      </w:tr>
      <w:tr w:rsidR="001A52F7" w:rsidRPr="00B27725" w14:paraId="25696F89"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B28A127"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00BB1D8E"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Law</w:t>
            </w:r>
          </w:p>
        </w:tc>
      </w:tr>
      <w:tr w:rsidR="001A52F7" w:rsidRPr="00B27725" w14:paraId="13A4B48B"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8E88EEB"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6CBFC2E5"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Mathematical sciences</w:t>
            </w:r>
          </w:p>
        </w:tc>
      </w:tr>
      <w:tr w:rsidR="001A52F7" w:rsidRPr="00B27725" w14:paraId="462C6283"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0AEFAF5"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43DE6744"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Media, journalism and communications</w:t>
            </w:r>
          </w:p>
        </w:tc>
      </w:tr>
      <w:tr w:rsidR="001A52F7" w:rsidRPr="00B27725" w14:paraId="10B98BD1"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FCC0805"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415C65C8"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Medicine and dentistry</w:t>
            </w:r>
          </w:p>
        </w:tc>
      </w:tr>
      <w:tr w:rsidR="001A52F7" w:rsidRPr="00B27725" w14:paraId="5C4BCB96"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9358274"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54DA7874"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Multiple subjects</w:t>
            </w:r>
          </w:p>
        </w:tc>
      </w:tr>
      <w:tr w:rsidR="001A52F7" w:rsidRPr="00B27725" w14:paraId="6BC260C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2CE2457"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1954F832"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Not applicable</w:t>
            </w:r>
          </w:p>
        </w:tc>
      </w:tr>
      <w:tr w:rsidR="001A52F7" w:rsidRPr="00B27725" w14:paraId="17CC7A55"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B08224A"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221842EE"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Physical sciences</w:t>
            </w:r>
          </w:p>
        </w:tc>
      </w:tr>
      <w:tr w:rsidR="001A52F7" w:rsidRPr="00B27725" w14:paraId="1682405C"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A7DC880"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6681A420"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Psychology</w:t>
            </w:r>
          </w:p>
        </w:tc>
      </w:tr>
      <w:tr w:rsidR="001A52F7" w:rsidRPr="00B27725" w14:paraId="241F2595"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DEBD002"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7A97943F"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Social sciences</w:t>
            </w:r>
          </w:p>
        </w:tc>
      </w:tr>
      <w:tr w:rsidR="001A52F7" w:rsidRPr="00B27725" w14:paraId="17836314"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9F17FCC" w14:textId="77777777" w:rsidR="001A52F7" w:rsidRPr="00B27725" w:rsidRDefault="001A52F7" w:rsidP="00372DAE">
            <w:pPr>
              <w:spacing w:before="0" w:line="240" w:lineRule="auto"/>
              <w:rPr>
                <w:rFonts w:cs="Arial"/>
                <w:color w:val="000000"/>
                <w:szCs w:val="24"/>
              </w:rPr>
            </w:pPr>
            <w:r w:rsidRPr="00B27725">
              <w:rPr>
                <w:rFonts w:cs="Arial"/>
                <w:color w:val="000000"/>
                <w:szCs w:val="24"/>
              </w:rPr>
              <w:t>CAH Main Subject of Study</w:t>
            </w:r>
          </w:p>
        </w:tc>
        <w:tc>
          <w:tcPr>
            <w:tcW w:w="3934" w:type="pct"/>
            <w:noWrap/>
            <w:hideMark/>
          </w:tcPr>
          <w:p w14:paraId="20C0979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Subjects allied to medicine</w:t>
            </w:r>
          </w:p>
        </w:tc>
      </w:tr>
      <w:tr w:rsidR="001A52F7" w:rsidRPr="00B27725" w14:paraId="712D8784"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67CC218" w14:textId="77777777" w:rsidR="001A52F7" w:rsidRPr="00B27725" w:rsidRDefault="001A52F7" w:rsidP="00372DAE">
            <w:pPr>
              <w:spacing w:before="0" w:line="240" w:lineRule="auto"/>
              <w:rPr>
                <w:rFonts w:cs="Arial"/>
                <w:color w:val="000000"/>
                <w:szCs w:val="24"/>
              </w:rPr>
            </w:pPr>
            <w:r w:rsidRPr="00B27725">
              <w:rPr>
                <w:rFonts w:cs="Arial"/>
                <w:color w:val="000000"/>
                <w:szCs w:val="24"/>
              </w:rPr>
              <w:lastRenderedPageBreak/>
              <w:t>CAH Main Subject of Study</w:t>
            </w:r>
          </w:p>
        </w:tc>
        <w:tc>
          <w:tcPr>
            <w:tcW w:w="3934" w:type="pct"/>
            <w:noWrap/>
            <w:hideMark/>
          </w:tcPr>
          <w:p w14:paraId="1B2EE5AB"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Veterinary sciences</w:t>
            </w:r>
          </w:p>
        </w:tc>
      </w:tr>
      <w:tr w:rsidR="001A52F7" w:rsidRPr="00B27725" w14:paraId="12667272"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AB4CE35" w14:textId="77777777" w:rsidR="001A52F7" w:rsidRPr="00B27725" w:rsidRDefault="001A52F7" w:rsidP="00372DAE">
            <w:pPr>
              <w:spacing w:before="0" w:line="240" w:lineRule="auto"/>
              <w:rPr>
                <w:rFonts w:cs="Arial"/>
                <w:color w:val="000000"/>
                <w:szCs w:val="24"/>
              </w:rPr>
            </w:pPr>
            <w:r w:rsidRPr="00B27725">
              <w:rPr>
                <w:rFonts w:cs="Arial"/>
                <w:color w:val="000000"/>
                <w:szCs w:val="24"/>
              </w:rPr>
              <w:t>Clearing</w:t>
            </w:r>
          </w:p>
        </w:tc>
        <w:tc>
          <w:tcPr>
            <w:tcW w:w="3934" w:type="pct"/>
            <w:noWrap/>
            <w:hideMark/>
          </w:tcPr>
          <w:p w14:paraId="0557BFD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Student enrolled via Clearing or Adjustment</w:t>
            </w:r>
          </w:p>
        </w:tc>
      </w:tr>
      <w:tr w:rsidR="001A52F7" w:rsidRPr="00B27725" w14:paraId="4E94B8DB"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F4137C2" w14:textId="77777777" w:rsidR="001A52F7" w:rsidRPr="00B27725" w:rsidRDefault="001A52F7" w:rsidP="00372DAE">
            <w:pPr>
              <w:spacing w:before="0" w:line="240" w:lineRule="auto"/>
              <w:rPr>
                <w:rFonts w:cs="Arial"/>
                <w:color w:val="000000"/>
                <w:szCs w:val="24"/>
              </w:rPr>
            </w:pPr>
            <w:r w:rsidRPr="00B27725">
              <w:rPr>
                <w:rFonts w:cs="Arial"/>
                <w:color w:val="000000"/>
                <w:szCs w:val="24"/>
              </w:rPr>
              <w:t>Clearing</w:t>
            </w:r>
          </w:p>
        </w:tc>
        <w:tc>
          <w:tcPr>
            <w:tcW w:w="3934" w:type="pct"/>
            <w:noWrap/>
            <w:hideMark/>
          </w:tcPr>
          <w:p w14:paraId="0404FE1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Student enrolled via main cycle</w:t>
            </w:r>
          </w:p>
        </w:tc>
      </w:tr>
      <w:tr w:rsidR="001A52F7" w:rsidRPr="00B27725" w14:paraId="6E52CF34"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A84971B" w14:textId="77777777" w:rsidR="001A52F7" w:rsidRPr="00B27725" w:rsidRDefault="001A52F7" w:rsidP="00372DAE">
            <w:pPr>
              <w:spacing w:before="0" w:line="240" w:lineRule="auto"/>
              <w:rPr>
                <w:rFonts w:cs="Arial"/>
                <w:color w:val="000000"/>
                <w:szCs w:val="24"/>
              </w:rPr>
            </w:pPr>
            <w:r w:rsidRPr="00B27725">
              <w:rPr>
                <w:rFonts w:cs="Arial"/>
                <w:color w:val="000000"/>
                <w:szCs w:val="24"/>
              </w:rPr>
              <w:t>Disability</w:t>
            </w:r>
          </w:p>
        </w:tc>
        <w:tc>
          <w:tcPr>
            <w:tcW w:w="3934" w:type="pct"/>
            <w:noWrap/>
            <w:hideMark/>
          </w:tcPr>
          <w:p w14:paraId="0BA5AFB8"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Disability and DSA status unknown</w:t>
            </w:r>
          </w:p>
        </w:tc>
      </w:tr>
      <w:tr w:rsidR="001A52F7" w:rsidRPr="00B27725" w14:paraId="70EE1EC5"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9E3E1EB" w14:textId="77777777" w:rsidR="001A52F7" w:rsidRPr="00B27725" w:rsidRDefault="001A52F7" w:rsidP="00372DAE">
            <w:pPr>
              <w:spacing w:before="0" w:line="240" w:lineRule="auto"/>
              <w:rPr>
                <w:rFonts w:cs="Arial"/>
                <w:color w:val="000000"/>
                <w:szCs w:val="24"/>
              </w:rPr>
            </w:pPr>
            <w:r w:rsidRPr="00B27725">
              <w:rPr>
                <w:rFonts w:cs="Arial"/>
                <w:color w:val="000000"/>
                <w:szCs w:val="24"/>
              </w:rPr>
              <w:t>Disability</w:t>
            </w:r>
          </w:p>
        </w:tc>
        <w:tc>
          <w:tcPr>
            <w:tcW w:w="3934" w:type="pct"/>
            <w:noWrap/>
            <w:hideMark/>
          </w:tcPr>
          <w:p w14:paraId="365EE118"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Disability declared and in receipt of DSA</w:t>
            </w:r>
          </w:p>
        </w:tc>
      </w:tr>
      <w:tr w:rsidR="001A52F7" w:rsidRPr="00B27725" w14:paraId="241873CB"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A1F6F96" w14:textId="77777777" w:rsidR="001A52F7" w:rsidRPr="00B27725" w:rsidRDefault="001A52F7" w:rsidP="00372DAE">
            <w:pPr>
              <w:spacing w:before="0" w:line="240" w:lineRule="auto"/>
              <w:rPr>
                <w:rFonts w:cs="Arial"/>
                <w:color w:val="000000"/>
                <w:szCs w:val="24"/>
              </w:rPr>
            </w:pPr>
            <w:r w:rsidRPr="00B27725">
              <w:rPr>
                <w:rFonts w:cs="Arial"/>
                <w:color w:val="000000"/>
                <w:szCs w:val="24"/>
              </w:rPr>
              <w:t>Disability</w:t>
            </w:r>
          </w:p>
        </w:tc>
        <w:tc>
          <w:tcPr>
            <w:tcW w:w="3934" w:type="pct"/>
            <w:noWrap/>
            <w:hideMark/>
          </w:tcPr>
          <w:p w14:paraId="2308CFCB"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Disability declared and not in receipt of DSA</w:t>
            </w:r>
          </w:p>
        </w:tc>
      </w:tr>
      <w:tr w:rsidR="001A52F7" w:rsidRPr="00B27725" w14:paraId="416AB98E"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91EEC71" w14:textId="77777777" w:rsidR="001A52F7" w:rsidRPr="00B27725" w:rsidRDefault="001A52F7" w:rsidP="00372DAE">
            <w:pPr>
              <w:spacing w:before="0" w:line="240" w:lineRule="auto"/>
              <w:rPr>
                <w:rFonts w:cs="Arial"/>
                <w:color w:val="000000"/>
                <w:szCs w:val="24"/>
              </w:rPr>
            </w:pPr>
            <w:r w:rsidRPr="00B27725">
              <w:rPr>
                <w:rFonts w:cs="Arial"/>
                <w:color w:val="000000"/>
                <w:szCs w:val="24"/>
              </w:rPr>
              <w:t>Disability</w:t>
            </w:r>
          </w:p>
        </w:tc>
        <w:tc>
          <w:tcPr>
            <w:tcW w:w="3934" w:type="pct"/>
            <w:noWrap/>
            <w:hideMark/>
          </w:tcPr>
          <w:p w14:paraId="12617FA6"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No disability declared</w:t>
            </w:r>
          </w:p>
        </w:tc>
      </w:tr>
      <w:tr w:rsidR="001A52F7" w:rsidRPr="00B27725" w14:paraId="7CEEA501"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65D438B"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32F505DC"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Bangladeshi</w:t>
            </w:r>
          </w:p>
        </w:tc>
      </w:tr>
      <w:tr w:rsidR="001A52F7" w:rsidRPr="00B27725" w14:paraId="63A9277D"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A3D20A1"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4619B7B3"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Black African</w:t>
            </w:r>
          </w:p>
        </w:tc>
      </w:tr>
      <w:tr w:rsidR="001A52F7" w:rsidRPr="00B27725" w14:paraId="231CE1ED"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B5CE1F7"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6555AEB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Black Caribbean</w:t>
            </w:r>
          </w:p>
        </w:tc>
      </w:tr>
      <w:tr w:rsidR="001A52F7" w:rsidRPr="00B27725" w14:paraId="0EAA8C28"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613F819"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672196FE"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Chinese</w:t>
            </w:r>
          </w:p>
        </w:tc>
      </w:tr>
      <w:tr w:rsidR="001A52F7" w:rsidRPr="00B27725" w14:paraId="1F219DB3"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FCF9400"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196DAA0E"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Indian</w:t>
            </w:r>
          </w:p>
        </w:tc>
      </w:tr>
      <w:tr w:rsidR="001A52F7" w:rsidRPr="00B27725" w14:paraId="041CCD60"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7ABA1DC"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3E6D59DA"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Mixed</w:t>
            </w:r>
          </w:p>
        </w:tc>
      </w:tr>
      <w:tr w:rsidR="001A52F7" w:rsidRPr="00B27725" w14:paraId="691E9382"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FFF92CC"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6AAF7B6A"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Other</w:t>
            </w:r>
          </w:p>
        </w:tc>
      </w:tr>
      <w:tr w:rsidR="001A52F7" w:rsidRPr="00B27725" w14:paraId="35C5C906"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50DC1AF"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0BCC4027"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Pakistani</w:t>
            </w:r>
          </w:p>
        </w:tc>
      </w:tr>
      <w:tr w:rsidR="001A52F7" w:rsidRPr="00B27725" w14:paraId="0BB326E1"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FBDAF23"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2AF4C84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Unknown</w:t>
            </w:r>
          </w:p>
        </w:tc>
      </w:tr>
      <w:tr w:rsidR="001A52F7" w:rsidRPr="00B27725" w14:paraId="1D155670"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2E7413B" w14:textId="77777777" w:rsidR="001A52F7" w:rsidRPr="00B27725" w:rsidRDefault="001A52F7" w:rsidP="00372DAE">
            <w:pPr>
              <w:spacing w:before="0" w:line="240" w:lineRule="auto"/>
              <w:rPr>
                <w:rFonts w:cs="Arial"/>
                <w:color w:val="000000"/>
                <w:szCs w:val="24"/>
              </w:rPr>
            </w:pPr>
            <w:r w:rsidRPr="00B27725">
              <w:rPr>
                <w:rFonts w:cs="Arial"/>
                <w:color w:val="000000"/>
                <w:szCs w:val="24"/>
              </w:rPr>
              <w:t>Ethnicity</w:t>
            </w:r>
          </w:p>
        </w:tc>
        <w:tc>
          <w:tcPr>
            <w:tcW w:w="3934" w:type="pct"/>
            <w:noWrap/>
            <w:hideMark/>
          </w:tcPr>
          <w:p w14:paraId="2CBE56D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White</w:t>
            </w:r>
          </w:p>
        </w:tc>
      </w:tr>
      <w:tr w:rsidR="001A52F7" w:rsidRPr="00B27725" w14:paraId="2BDC981E"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6A1B73D" w14:textId="77777777" w:rsidR="001A52F7" w:rsidRPr="00B27725" w:rsidRDefault="001A52F7" w:rsidP="00372DAE">
            <w:pPr>
              <w:spacing w:before="0" w:line="240" w:lineRule="auto"/>
              <w:rPr>
                <w:rFonts w:cs="Arial"/>
                <w:color w:val="000000"/>
                <w:szCs w:val="24"/>
              </w:rPr>
            </w:pPr>
            <w:r w:rsidRPr="00B27725">
              <w:rPr>
                <w:rFonts w:cs="Arial"/>
                <w:color w:val="000000"/>
                <w:szCs w:val="24"/>
              </w:rPr>
              <w:t>Gender</w:t>
            </w:r>
          </w:p>
        </w:tc>
        <w:tc>
          <w:tcPr>
            <w:tcW w:w="3934" w:type="pct"/>
            <w:noWrap/>
            <w:hideMark/>
          </w:tcPr>
          <w:p w14:paraId="14FF93FA"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Female</w:t>
            </w:r>
          </w:p>
        </w:tc>
      </w:tr>
      <w:tr w:rsidR="001A52F7" w:rsidRPr="00B27725" w14:paraId="00C3F48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48C47683" w14:textId="77777777" w:rsidR="001A52F7" w:rsidRPr="00B27725" w:rsidRDefault="001A52F7" w:rsidP="00372DAE">
            <w:pPr>
              <w:spacing w:before="0" w:line="240" w:lineRule="auto"/>
              <w:rPr>
                <w:rFonts w:cs="Arial"/>
                <w:color w:val="000000"/>
                <w:szCs w:val="24"/>
              </w:rPr>
            </w:pPr>
            <w:r w:rsidRPr="00B27725">
              <w:rPr>
                <w:rFonts w:cs="Arial"/>
                <w:color w:val="000000"/>
                <w:szCs w:val="24"/>
              </w:rPr>
              <w:t>Gender</w:t>
            </w:r>
          </w:p>
        </w:tc>
        <w:tc>
          <w:tcPr>
            <w:tcW w:w="3934" w:type="pct"/>
            <w:noWrap/>
            <w:hideMark/>
          </w:tcPr>
          <w:p w14:paraId="3403619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Male</w:t>
            </w:r>
          </w:p>
        </w:tc>
      </w:tr>
      <w:tr w:rsidR="001A52F7" w:rsidRPr="00B27725" w14:paraId="77475255"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8891052" w14:textId="77777777" w:rsidR="001A52F7" w:rsidRPr="00B27725" w:rsidRDefault="001A52F7" w:rsidP="00372DAE">
            <w:pPr>
              <w:spacing w:before="0" w:line="240" w:lineRule="auto"/>
              <w:rPr>
                <w:rFonts w:cs="Arial"/>
                <w:color w:val="000000"/>
                <w:szCs w:val="24"/>
              </w:rPr>
            </w:pPr>
            <w:r w:rsidRPr="00B27725">
              <w:rPr>
                <w:rFonts w:cs="Arial"/>
                <w:color w:val="000000"/>
                <w:szCs w:val="24"/>
              </w:rPr>
              <w:t>Gender</w:t>
            </w:r>
          </w:p>
        </w:tc>
        <w:tc>
          <w:tcPr>
            <w:tcW w:w="3934" w:type="pct"/>
            <w:noWrap/>
            <w:hideMark/>
          </w:tcPr>
          <w:p w14:paraId="3D4410DA"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Other</w:t>
            </w:r>
          </w:p>
        </w:tc>
      </w:tr>
      <w:tr w:rsidR="001A52F7" w:rsidRPr="00B27725" w14:paraId="70B66537"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62E909A" w14:textId="77777777" w:rsidR="001A52F7" w:rsidRPr="00B27725" w:rsidRDefault="001A52F7" w:rsidP="00372DAE">
            <w:pPr>
              <w:spacing w:before="0" w:line="240" w:lineRule="auto"/>
              <w:rPr>
                <w:rFonts w:cs="Arial"/>
                <w:color w:val="000000"/>
                <w:szCs w:val="24"/>
              </w:rPr>
            </w:pPr>
            <w:r w:rsidRPr="00B27725">
              <w:rPr>
                <w:rFonts w:cs="Arial"/>
                <w:color w:val="000000"/>
                <w:szCs w:val="24"/>
              </w:rPr>
              <w:t>IMD Quintiles</w:t>
            </w:r>
          </w:p>
        </w:tc>
        <w:tc>
          <w:tcPr>
            <w:tcW w:w="3934" w:type="pct"/>
            <w:noWrap/>
            <w:hideMark/>
          </w:tcPr>
          <w:p w14:paraId="436E1207"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IMD Quintile 1</w:t>
            </w:r>
          </w:p>
        </w:tc>
      </w:tr>
      <w:tr w:rsidR="001A52F7" w:rsidRPr="00B27725" w14:paraId="5EE82F2C"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055E48C" w14:textId="77777777" w:rsidR="001A52F7" w:rsidRPr="00B27725" w:rsidRDefault="001A52F7" w:rsidP="00372DAE">
            <w:pPr>
              <w:spacing w:before="0" w:line="240" w:lineRule="auto"/>
              <w:rPr>
                <w:rFonts w:cs="Arial"/>
                <w:color w:val="000000"/>
                <w:szCs w:val="24"/>
              </w:rPr>
            </w:pPr>
            <w:r w:rsidRPr="00B27725">
              <w:rPr>
                <w:rFonts w:cs="Arial"/>
                <w:color w:val="000000"/>
                <w:szCs w:val="24"/>
              </w:rPr>
              <w:t>IMD Quintiles</w:t>
            </w:r>
          </w:p>
        </w:tc>
        <w:tc>
          <w:tcPr>
            <w:tcW w:w="3934" w:type="pct"/>
            <w:noWrap/>
            <w:hideMark/>
          </w:tcPr>
          <w:p w14:paraId="1A2D8230"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IMD Quintile 2</w:t>
            </w:r>
          </w:p>
        </w:tc>
      </w:tr>
      <w:tr w:rsidR="001A52F7" w:rsidRPr="00B27725" w14:paraId="476AA22C"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C668C9F" w14:textId="77777777" w:rsidR="001A52F7" w:rsidRPr="00B27725" w:rsidRDefault="001A52F7" w:rsidP="00372DAE">
            <w:pPr>
              <w:spacing w:before="0" w:line="240" w:lineRule="auto"/>
              <w:rPr>
                <w:rFonts w:cs="Arial"/>
                <w:color w:val="000000"/>
                <w:szCs w:val="24"/>
              </w:rPr>
            </w:pPr>
            <w:r w:rsidRPr="00B27725">
              <w:rPr>
                <w:rFonts w:cs="Arial"/>
                <w:color w:val="000000"/>
                <w:szCs w:val="24"/>
              </w:rPr>
              <w:t>IMD Quintiles</w:t>
            </w:r>
          </w:p>
        </w:tc>
        <w:tc>
          <w:tcPr>
            <w:tcW w:w="3934" w:type="pct"/>
            <w:noWrap/>
            <w:hideMark/>
          </w:tcPr>
          <w:p w14:paraId="552D56E0"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IMD Quintile 3</w:t>
            </w:r>
          </w:p>
        </w:tc>
      </w:tr>
      <w:tr w:rsidR="001A52F7" w:rsidRPr="00B27725" w14:paraId="65C50E9D"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0DC40CF" w14:textId="77777777" w:rsidR="001A52F7" w:rsidRPr="00B27725" w:rsidRDefault="001A52F7" w:rsidP="00372DAE">
            <w:pPr>
              <w:spacing w:before="0" w:line="240" w:lineRule="auto"/>
              <w:rPr>
                <w:rFonts w:cs="Arial"/>
                <w:color w:val="000000"/>
                <w:szCs w:val="24"/>
              </w:rPr>
            </w:pPr>
            <w:r w:rsidRPr="00B27725">
              <w:rPr>
                <w:rFonts w:cs="Arial"/>
                <w:color w:val="000000"/>
                <w:szCs w:val="24"/>
              </w:rPr>
              <w:t>IMD Quintiles</w:t>
            </w:r>
          </w:p>
        </w:tc>
        <w:tc>
          <w:tcPr>
            <w:tcW w:w="3934" w:type="pct"/>
            <w:noWrap/>
            <w:hideMark/>
          </w:tcPr>
          <w:p w14:paraId="7CAF2255"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IMD Quintile 4</w:t>
            </w:r>
          </w:p>
        </w:tc>
      </w:tr>
      <w:tr w:rsidR="001A52F7" w:rsidRPr="00B27725" w14:paraId="373B83E1"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3CE8110" w14:textId="77777777" w:rsidR="001A52F7" w:rsidRPr="00B27725" w:rsidRDefault="001A52F7" w:rsidP="00372DAE">
            <w:pPr>
              <w:spacing w:before="0" w:line="240" w:lineRule="auto"/>
              <w:rPr>
                <w:rFonts w:cs="Arial"/>
                <w:color w:val="000000"/>
                <w:szCs w:val="24"/>
              </w:rPr>
            </w:pPr>
            <w:r w:rsidRPr="00B27725">
              <w:rPr>
                <w:rFonts w:cs="Arial"/>
                <w:color w:val="000000"/>
                <w:szCs w:val="24"/>
              </w:rPr>
              <w:t>IMD Quintiles</w:t>
            </w:r>
          </w:p>
        </w:tc>
        <w:tc>
          <w:tcPr>
            <w:tcW w:w="3934" w:type="pct"/>
            <w:noWrap/>
            <w:hideMark/>
          </w:tcPr>
          <w:p w14:paraId="343A2F76"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IMD Quintile 5</w:t>
            </w:r>
          </w:p>
        </w:tc>
      </w:tr>
      <w:tr w:rsidR="001A52F7" w:rsidRPr="00B27725" w14:paraId="35600DA8"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13F298E" w14:textId="77777777" w:rsidR="001A52F7" w:rsidRPr="00B27725" w:rsidRDefault="001A52F7" w:rsidP="00372DAE">
            <w:pPr>
              <w:spacing w:before="0" w:line="240" w:lineRule="auto"/>
              <w:rPr>
                <w:rFonts w:cs="Arial"/>
                <w:color w:val="000000"/>
                <w:szCs w:val="24"/>
              </w:rPr>
            </w:pPr>
            <w:r w:rsidRPr="00B27725">
              <w:rPr>
                <w:rFonts w:cs="Arial"/>
                <w:color w:val="000000"/>
                <w:szCs w:val="24"/>
              </w:rPr>
              <w:t>IMD Quintiles</w:t>
            </w:r>
          </w:p>
        </w:tc>
        <w:tc>
          <w:tcPr>
            <w:tcW w:w="3934" w:type="pct"/>
            <w:noWrap/>
            <w:hideMark/>
          </w:tcPr>
          <w:p w14:paraId="6F29E5C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Not applicable</w:t>
            </w:r>
          </w:p>
        </w:tc>
      </w:tr>
      <w:tr w:rsidR="001A52F7" w:rsidRPr="00B27725" w14:paraId="12C64EF8"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40F8C4AA"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229D976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Agriculture &amp; related subjects</w:t>
            </w:r>
          </w:p>
        </w:tc>
      </w:tr>
      <w:tr w:rsidR="001A52F7" w:rsidRPr="00B27725" w14:paraId="52B01477"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CD03FEE"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3C31845F"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Architecture, building &amp; planning</w:t>
            </w:r>
          </w:p>
        </w:tc>
      </w:tr>
      <w:tr w:rsidR="001A52F7" w:rsidRPr="00B27725" w14:paraId="79200AB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480DFEE8"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5BF8F6C7"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Biological sciences</w:t>
            </w:r>
          </w:p>
        </w:tc>
      </w:tr>
      <w:tr w:rsidR="001A52F7" w:rsidRPr="00B27725" w14:paraId="48263FA1"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D488AFD"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4308EAD8"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Business &amp; administrative studies</w:t>
            </w:r>
          </w:p>
        </w:tc>
      </w:tr>
      <w:tr w:rsidR="001A52F7" w:rsidRPr="00B27725" w14:paraId="49C1558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E63D12F" w14:textId="77777777" w:rsidR="001A52F7" w:rsidRPr="00B27725" w:rsidRDefault="001A52F7" w:rsidP="00372DAE">
            <w:pPr>
              <w:spacing w:before="0" w:line="240" w:lineRule="auto"/>
              <w:rPr>
                <w:rFonts w:cs="Arial"/>
                <w:color w:val="000000"/>
                <w:szCs w:val="24"/>
              </w:rPr>
            </w:pPr>
            <w:r w:rsidRPr="00B27725">
              <w:rPr>
                <w:rFonts w:cs="Arial"/>
                <w:color w:val="000000"/>
                <w:szCs w:val="24"/>
              </w:rPr>
              <w:lastRenderedPageBreak/>
              <w:t>JACS Main Subject of Study</w:t>
            </w:r>
          </w:p>
        </w:tc>
        <w:tc>
          <w:tcPr>
            <w:tcW w:w="3934" w:type="pct"/>
            <w:noWrap/>
            <w:hideMark/>
          </w:tcPr>
          <w:p w14:paraId="565D0623"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Combined</w:t>
            </w:r>
          </w:p>
        </w:tc>
      </w:tr>
      <w:tr w:rsidR="001A52F7" w:rsidRPr="00B27725" w14:paraId="28BB34EE"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8FB6D65"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00A0828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Computer science</w:t>
            </w:r>
          </w:p>
        </w:tc>
      </w:tr>
      <w:tr w:rsidR="001A52F7" w:rsidRPr="00B27725" w14:paraId="62BBA727"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0EA4C6E"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2782DF42"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Creative arts &amp; design</w:t>
            </w:r>
          </w:p>
        </w:tc>
      </w:tr>
      <w:tr w:rsidR="001A52F7" w:rsidRPr="00B27725" w14:paraId="01238A4E"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4085FE4"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6053926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Education</w:t>
            </w:r>
          </w:p>
        </w:tc>
      </w:tr>
      <w:tr w:rsidR="001A52F7" w:rsidRPr="00B27725" w14:paraId="66D43788"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4B7D7780"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275E46F0"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Engineering &amp; technology</w:t>
            </w:r>
          </w:p>
        </w:tc>
      </w:tr>
      <w:tr w:rsidR="001A52F7" w:rsidRPr="00B27725" w14:paraId="26859A89"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6634E25"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5AB9D74D"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Historical &amp; philosophical studies</w:t>
            </w:r>
          </w:p>
        </w:tc>
      </w:tr>
      <w:tr w:rsidR="001A52F7" w:rsidRPr="00B27725" w14:paraId="6B9720C2"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E865362"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3239B9BC"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Languages</w:t>
            </w:r>
          </w:p>
        </w:tc>
      </w:tr>
      <w:tr w:rsidR="001A52F7" w:rsidRPr="00B27725" w14:paraId="6F4533A6"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FD0ACE9"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238638FE"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Law</w:t>
            </w:r>
          </w:p>
        </w:tc>
      </w:tr>
      <w:tr w:rsidR="001A52F7" w:rsidRPr="00B27725" w14:paraId="7B8F96E6"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4CDB5D2B"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169209D3"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Mass communications &amp; documentation</w:t>
            </w:r>
          </w:p>
        </w:tc>
      </w:tr>
      <w:tr w:rsidR="001A52F7" w:rsidRPr="00B27725" w14:paraId="005DE683"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4E9CFF0C"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77F1552F"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Mathematical sciences</w:t>
            </w:r>
          </w:p>
        </w:tc>
      </w:tr>
      <w:tr w:rsidR="001A52F7" w:rsidRPr="00B27725" w14:paraId="29B8138B"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D60DB93"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77D461C7"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Medicine &amp; dentistry</w:t>
            </w:r>
          </w:p>
        </w:tc>
      </w:tr>
      <w:tr w:rsidR="001A52F7" w:rsidRPr="00B27725" w14:paraId="4CED15EC"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5D285E7"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4867B08E"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Multiple subjects</w:t>
            </w:r>
          </w:p>
        </w:tc>
      </w:tr>
      <w:tr w:rsidR="001A52F7" w:rsidRPr="00B27725" w14:paraId="4B2586E5"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3E6ECC83"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3BA885E5"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Not applicable</w:t>
            </w:r>
          </w:p>
        </w:tc>
      </w:tr>
      <w:tr w:rsidR="001A52F7" w:rsidRPr="00B27725" w14:paraId="0FA05550"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9B4DDD3"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2AAED14E"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Physical sciences</w:t>
            </w:r>
          </w:p>
        </w:tc>
      </w:tr>
      <w:tr w:rsidR="001A52F7" w:rsidRPr="00B27725" w14:paraId="04C41BD5"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4F5857A"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2A0E61A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Social studies</w:t>
            </w:r>
          </w:p>
        </w:tc>
      </w:tr>
      <w:tr w:rsidR="001A52F7" w:rsidRPr="00B27725" w14:paraId="0910F5FB"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26C72A6"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457733F4"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Subjects allied to medicine</w:t>
            </w:r>
          </w:p>
        </w:tc>
      </w:tr>
      <w:tr w:rsidR="001A52F7" w:rsidRPr="00B27725" w14:paraId="526DD72B"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AB94598" w14:textId="77777777" w:rsidR="001A52F7" w:rsidRPr="00B27725" w:rsidRDefault="001A52F7" w:rsidP="00372DAE">
            <w:pPr>
              <w:spacing w:before="0" w:line="240" w:lineRule="auto"/>
              <w:rPr>
                <w:rFonts w:cs="Arial"/>
                <w:color w:val="000000"/>
                <w:szCs w:val="24"/>
              </w:rPr>
            </w:pPr>
            <w:r w:rsidRPr="00B27725">
              <w:rPr>
                <w:rFonts w:cs="Arial"/>
                <w:color w:val="000000"/>
                <w:szCs w:val="24"/>
              </w:rPr>
              <w:t>JACS Main Subject of Study</w:t>
            </w:r>
          </w:p>
        </w:tc>
        <w:tc>
          <w:tcPr>
            <w:tcW w:w="3934" w:type="pct"/>
            <w:noWrap/>
            <w:hideMark/>
          </w:tcPr>
          <w:p w14:paraId="60AFC6E3"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Veterinary science</w:t>
            </w:r>
          </w:p>
        </w:tc>
      </w:tr>
      <w:tr w:rsidR="001A52F7" w:rsidRPr="00B27725" w14:paraId="24729687"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AE46B41" w14:textId="77777777" w:rsidR="001A52F7" w:rsidRPr="00B27725" w:rsidRDefault="001A52F7" w:rsidP="00372DAE">
            <w:pPr>
              <w:spacing w:before="0" w:line="240" w:lineRule="auto"/>
              <w:rPr>
                <w:rFonts w:cs="Arial"/>
                <w:color w:val="000000"/>
                <w:szCs w:val="24"/>
              </w:rPr>
            </w:pPr>
            <w:r w:rsidRPr="00B27725">
              <w:rPr>
                <w:rFonts w:cs="Arial"/>
                <w:color w:val="000000"/>
                <w:szCs w:val="24"/>
              </w:rPr>
              <w:t>Nationality</w:t>
            </w:r>
          </w:p>
        </w:tc>
        <w:tc>
          <w:tcPr>
            <w:tcW w:w="3934" w:type="pct"/>
            <w:noWrap/>
            <w:hideMark/>
          </w:tcPr>
          <w:p w14:paraId="07F38644"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Other (including unknown)</w:t>
            </w:r>
          </w:p>
        </w:tc>
      </w:tr>
      <w:tr w:rsidR="001A52F7" w:rsidRPr="00B27725" w14:paraId="71D23242"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B0578E1" w14:textId="77777777" w:rsidR="001A52F7" w:rsidRPr="00B27725" w:rsidRDefault="001A52F7" w:rsidP="00372DAE">
            <w:pPr>
              <w:spacing w:before="0" w:line="240" w:lineRule="auto"/>
              <w:rPr>
                <w:rFonts w:cs="Arial"/>
                <w:color w:val="000000"/>
                <w:szCs w:val="24"/>
              </w:rPr>
            </w:pPr>
            <w:r w:rsidRPr="00B27725">
              <w:rPr>
                <w:rFonts w:cs="Arial"/>
                <w:color w:val="000000"/>
                <w:szCs w:val="24"/>
              </w:rPr>
              <w:t>Nationality</w:t>
            </w:r>
          </w:p>
        </w:tc>
        <w:tc>
          <w:tcPr>
            <w:tcW w:w="3934" w:type="pct"/>
            <w:noWrap/>
            <w:hideMark/>
          </w:tcPr>
          <w:p w14:paraId="7BFB46A5"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UK</w:t>
            </w:r>
          </w:p>
        </w:tc>
      </w:tr>
      <w:tr w:rsidR="001A52F7" w:rsidRPr="00B27725" w14:paraId="2AF1EB5A"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7DEF3CE" w14:textId="77777777" w:rsidR="001A52F7" w:rsidRPr="00B27725" w:rsidRDefault="001A52F7" w:rsidP="00372DAE">
            <w:pPr>
              <w:spacing w:before="0" w:line="240" w:lineRule="auto"/>
              <w:rPr>
                <w:rFonts w:cs="Arial"/>
                <w:color w:val="000000"/>
                <w:szCs w:val="24"/>
              </w:rPr>
            </w:pPr>
            <w:r w:rsidRPr="00B27725">
              <w:rPr>
                <w:rFonts w:cs="Arial"/>
                <w:color w:val="000000"/>
                <w:szCs w:val="24"/>
              </w:rPr>
              <w:t>POLAR4 Quintiles</w:t>
            </w:r>
          </w:p>
        </w:tc>
        <w:tc>
          <w:tcPr>
            <w:tcW w:w="3934" w:type="pct"/>
            <w:noWrap/>
            <w:hideMark/>
          </w:tcPr>
          <w:p w14:paraId="2F3BF9FB"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Not applicable</w:t>
            </w:r>
          </w:p>
        </w:tc>
      </w:tr>
      <w:tr w:rsidR="001A52F7" w:rsidRPr="00B27725" w14:paraId="608EB5E4"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1DDE9505" w14:textId="77777777" w:rsidR="001A52F7" w:rsidRPr="00B27725" w:rsidRDefault="001A52F7" w:rsidP="00372DAE">
            <w:pPr>
              <w:spacing w:before="0" w:line="240" w:lineRule="auto"/>
              <w:rPr>
                <w:rFonts w:cs="Arial"/>
                <w:color w:val="000000"/>
                <w:szCs w:val="24"/>
              </w:rPr>
            </w:pPr>
            <w:r w:rsidRPr="00B27725">
              <w:rPr>
                <w:rFonts w:cs="Arial"/>
                <w:color w:val="000000"/>
                <w:szCs w:val="24"/>
              </w:rPr>
              <w:t>POLAR4 Quintiles</w:t>
            </w:r>
          </w:p>
        </w:tc>
        <w:tc>
          <w:tcPr>
            <w:tcW w:w="3934" w:type="pct"/>
            <w:noWrap/>
            <w:hideMark/>
          </w:tcPr>
          <w:p w14:paraId="7F079291"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POLAR4 Quintile 1</w:t>
            </w:r>
          </w:p>
        </w:tc>
      </w:tr>
      <w:tr w:rsidR="001A52F7" w:rsidRPr="00B27725" w14:paraId="6EE19D54"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5DE4D759" w14:textId="77777777" w:rsidR="001A52F7" w:rsidRPr="00B27725" w:rsidRDefault="001A52F7" w:rsidP="00372DAE">
            <w:pPr>
              <w:spacing w:before="0" w:line="240" w:lineRule="auto"/>
              <w:rPr>
                <w:rFonts w:cs="Arial"/>
                <w:color w:val="000000"/>
                <w:szCs w:val="24"/>
              </w:rPr>
            </w:pPr>
            <w:r w:rsidRPr="00B27725">
              <w:rPr>
                <w:rFonts w:cs="Arial"/>
                <w:color w:val="000000"/>
                <w:szCs w:val="24"/>
              </w:rPr>
              <w:t>POLAR4 Quintiles</w:t>
            </w:r>
          </w:p>
        </w:tc>
        <w:tc>
          <w:tcPr>
            <w:tcW w:w="3934" w:type="pct"/>
            <w:noWrap/>
            <w:hideMark/>
          </w:tcPr>
          <w:p w14:paraId="2F266446"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POLAR4 Quintile 2</w:t>
            </w:r>
          </w:p>
        </w:tc>
      </w:tr>
      <w:tr w:rsidR="001A52F7" w:rsidRPr="00B27725" w14:paraId="4ED0363C"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05D9FCB" w14:textId="77777777" w:rsidR="001A52F7" w:rsidRPr="00B27725" w:rsidRDefault="001A52F7" w:rsidP="00372DAE">
            <w:pPr>
              <w:spacing w:before="0" w:line="240" w:lineRule="auto"/>
              <w:rPr>
                <w:rFonts w:cs="Arial"/>
                <w:color w:val="000000"/>
                <w:szCs w:val="24"/>
              </w:rPr>
            </w:pPr>
            <w:r w:rsidRPr="00B27725">
              <w:rPr>
                <w:rFonts w:cs="Arial"/>
                <w:color w:val="000000"/>
                <w:szCs w:val="24"/>
              </w:rPr>
              <w:t>POLAR4 Quintiles</w:t>
            </w:r>
          </w:p>
        </w:tc>
        <w:tc>
          <w:tcPr>
            <w:tcW w:w="3934" w:type="pct"/>
            <w:noWrap/>
            <w:hideMark/>
          </w:tcPr>
          <w:p w14:paraId="02C80764"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POLAR4 Quintile 3</w:t>
            </w:r>
          </w:p>
        </w:tc>
      </w:tr>
      <w:tr w:rsidR="001A52F7" w:rsidRPr="00B27725" w14:paraId="683CAD8D"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24BD6A67" w14:textId="77777777" w:rsidR="001A52F7" w:rsidRPr="00B27725" w:rsidRDefault="001A52F7" w:rsidP="00372DAE">
            <w:pPr>
              <w:spacing w:before="0" w:line="240" w:lineRule="auto"/>
              <w:rPr>
                <w:rFonts w:cs="Arial"/>
                <w:color w:val="000000"/>
                <w:szCs w:val="24"/>
              </w:rPr>
            </w:pPr>
            <w:r w:rsidRPr="00B27725">
              <w:rPr>
                <w:rFonts w:cs="Arial"/>
                <w:color w:val="000000"/>
                <w:szCs w:val="24"/>
              </w:rPr>
              <w:t>POLAR4 Quintiles</w:t>
            </w:r>
          </w:p>
        </w:tc>
        <w:tc>
          <w:tcPr>
            <w:tcW w:w="3934" w:type="pct"/>
            <w:noWrap/>
            <w:hideMark/>
          </w:tcPr>
          <w:p w14:paraId="11A7AA4B"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POLAR4 Quintile 4</w:t>
            </w:r>
          </w:p>
        </w:tc>
      </w:tr>
      <w:tr w:rsidR="001A52F7" w:rsidRPr="00B27725" w14:paraId="61E6A339"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ADADDCD" w14:textId="77777777" w:rsidR="001A52F7" w:rsidRPr="00B27725" w:rsidRDefault="001A52F7" w:rsidP="00372DAE">
            <w:pPr>
              <w:spacing w:before="0" w:line="240" w:lineRule="auto"/>
              <w:rPr>
                <w:rFonts w:cs="Arial"/>
                <w:color w:val="000000"/>
                <w:szCs w:val="24"/>
              </w:rPr>
            </w:pPr>
            <w:r w:rsidRPr="00B27725">
              <w:rPr>
                <w:rFonts w:cs="Arial"/>
                <w:color w:val="000000"/>
                <w:szCs w:val="24"/>
              </w:rPr>
              <w:t>POLAR4 Quintiles</w:t>
            </w:r>
          </w:p>
        </w:tc>
        <w:tc>
          <w:tcPr>
            <w:tcW w:w="3934" w:type="pct"/>
            <w:noWrap/>
            <w:hideMark/>
          </w:tcPr>
          <w:p w14:paraId="397BEAAC"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POLAR4 Quintile 5</w:t>
            </w:r>
          </w:p>
        </w:tc>
      </w:tr>
      <w:tr w:rsidR="001A52F7" w:rsidRPr="00B27725" w14:paraId="447C01A8"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8109A45" w14:textId="77777777" w:rsidR="001A52F7" w:rsidRPr="00B27725" w:rsidRDefault="001A52F7" w:rsidP="00372DAE">
            <w:pPr>
              <w:spacing w:before="0" w:line="240" w:lineRule="auto"/>
              <w:rPr>
                <w:rFonts w:cs="Arial"/>
                <w:color w:val="000000"/>
                <w:szCs w:val="24"/>
              </w:rPr>
            </w:pPr>
            <w:r w:rsidRPr="00B27725">
              <w:rPr>
                <w:rFonts w:cs="Arial"/>
                <w:color w:val="000000"/>
                <w:szCs w:val="24"/>
              </w:rPr>
              <w:t>Term-Time Accommodation</w:t>
            </w:r>
          </w:p>
        </w:tc>
        <w:tc>
          <w:tcPr>
            <w:tcW w:w="3934" w:type="pct"/>
            <w:noWrap/>
            <w:hideMark/>
          </w:tcPr>
          <w:p w14:paraId="5FFB3DBA"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Institutional / private halls</w:t>
            </w:r>
          </w:p>
        </w:tc>
      </w:tr>
      <w:tr w:rsidR="001A52F7" w:rsidRPr="00B27725" w14:paraId="5D545434"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45851E3" w14:textId="77777777" w:rsidR="001A52F7" w:rsidRPr="00B27725" w:rsidRDefault="001A52F7" w:rsidP="00372DAE">
            <w:pPr>
              <w:spacing w:before="0" w:line="240" w:lineRule="auto"/>
              <w:rPr>
                <w:rFonts w:cs="Arial"/>
                <w:color w:val="000000"/>
                <w:szCs w:val="24"/>
              </w:rPr>
            </w:pPr>
            <w:r w:rsidRPr="00B27725">
              <w:rPr>
                <w:rFonts w:cs="Arial"/>
                <w:color w:val="000000"/>
                <w:szCs w:val="24"/>
              </w:rPr>
              <w:t>Term-Time Accommodation</w:t>
            </w:r>
          </w:p>
        </w:tc>
        <w:tc>
          <w:tcPr>
            <w:tcW w:w="3934" w:type="pct"/>
            <w:noWrap/>
            <w:hideMark/>
          </w:tcPr>
          <w:p w14:paraId="2B4A52B9"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Other (including unknown and not in attendance)</w:t>
            </w:r>
          </w:p>
        </w:tc>
      </w:tr>
      <w:tr w:rsidR="001A52F7" w:rsidRPr="00B27725" w14:paraId="4D3B74E8"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072F364C" w14:textId="77777777" w:rsidR="001A52F7" w:rsidRPr="00B27725" w:rsidRDefault="001A52F7" w:rsidP="00372DAE">
            <w:pPr>
              <w:spacing w:before="0" w:line="240" w:lineRule="auto"/>
              <w:rPr>
                <w:rFonts w:cs="Arial"/>
                <w:color w:val="000000"/>
                <w:szCs w:val="24"/>
              </w:rPr>
            </w:pPr>
            <w:r w:rsidRPr="00B27725">
              <w:rPr>
                <w:rFonts w:cs="Arial"/>
                <w:color w:val="000000"/>
                <w:szCs w:val="24"/>
              </w:rPr>
              <w:t>Term-Time Accommodation</w:t>
            </w:r>
          </w:p>
        </w:tc>
        <w:tc>
          <w:tcPr>
            <w:tcW w:w="3934" w:type="pct"/>
            <w:noWrap/>
            <w:hideMark/>
          </w:tcPr>
          <w:p w14:paraId="3942A833"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Other rented accommodation</w:t>
            </w:r>
          </w:p>
        </w:tc>
      </w:tr>
      <w:tr w:rsidR="001A52F7" w:rsidRPr="00B27725" w14:paraId="00554C32"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7D00D3F3" w14:textId="77777777" w:rsidR="001A52F7" w:rsidRPr="00B27725" w:rsidRDefault="001A52F7" w:rsidP="00372DAE">
            <w:pPr>
              <w:spacing w:before="0" w:line="240" w:lineRule="auto"/>
              <w:rPr>
                <w:rFonts w:cs="Arial"/>
                <w:color w:val="000000"/>
                <w:szCs w:val="24"/>
              </w:rPr>
            </w:pPr>
            <w:r w:rsidRPr="00B27725">
              <w:rPr>
                <w:rFonts w:cs="Arial"/>
                <w:color w:val="000000"/>
                <w:szCs w:val="24"/>
              </w:rPr>
              <w:t>Term-Time Accommodation</w:t>
            </w:r>
          </w:p>
        </w:tc>
        <w:tc>
          <w:tcPr>
            <w:tcW w:w="3934" w:type="pct"/>
            <w:noWrap/>
            <w:hideMark/>
          </w:tcPr>
          <w:p w14:paraId="23D01228"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Own home</w:t>
            </w:r>
          </w:p>
        </w:tc>
      </w:tr>
      <w:tr w:rsidR="001A52F7" w:rsidRPr="00B27725" w14:paraId="44C2B1D3" w14:textId="77777777" w:rsidTr="00FE3A85">
        <w:tblPrEx>
          <w:tblCellMar>
            <w:top w:w="57"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1066" w:type="pct"/>
            <w:noWrap/>
            <w:hideMark/>
          </w:tcPr>
          <w:p w14:paraId="6358CE76" w14:textId="77777777" w:rsidR="001A52F7" w:rsidRPr="00B27725" w:rsidRDefault="001A52F7" w:rsidP="00372DAE">
            <w:pPr>
              <w:spacing w:before="0" w:line="240" w:lineRule="auto"/>
              <w:rPr>
                <w:rFonts w:cs="Arial"/>
                <w:color w:val="000000"/>
                <w:szCs w:val="24"/>
              </w:rPr>
            </w:pPr>
            <w:r w:rsidRPr="00B27725">
              <w:rPr>
                <w:rFonts w:cs="Arial"/>
                <w:color w:val="000000"/>
                <w:szCs w:val="24"/>
              </w:rPr>
              <w:t>Term-Time Accommodation</w:t>
            </w:r>
          </w:p>
        </w:tc>
        <w:tc>
          <w:tcPr>
            <w:tcW w:w="3934" w:type="pct"/>
            <w:noWrap/>
            <w:hideMark/>
          </w:tcPr>
          <w:p w14:paraId="60F57CD4" w14:textId="77777777" w:rsidR="001A52F7" w:rsidRPr="00B27725" w:rsidRDefault="001A52F7" w:rsidP="00372DAE">
            <w:pPr>
              <w:spacing w:before="0"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4"/>
              </w:rPr>
            </w:pPr>
            <w:r w:rsidRPr="00B27725">
              <w:rPr>
                <w:rFonts w:cs="Arial"/>
                <w:color w:val="000000"/>
                <w:szCs w:val="24"/>
              </w:rPr>
              <w:t>Parental home</w:t>
            </w:r>
          </w:p>
        </w:tc>
      </w:tr>
      <w:bookmarkEnd w:id="6"/>
      <w:bookmarkEnd w:id="7"/>
    </w:tbl>
    <w:p w14:paraId="315D7702" w14:textId="77777777" w:rsidR="001A52F7" w:rsidRPr="001A52F7" w:rsidRDefault="001A52F7" w:rsidP="00B601F7">
      <w:pPr>
        <w:rPr>
          <w:lang w:eastAsia="en-US"/>
        </w:rPr>
      </w:pPr>
    </w:p>
    <w:sectPr w:rsidR="001A52F7" w:rsidRPr="001A52F7" w:rsidSect="001F1104">
      <w:pgSz w:w="11906" w:h="16840" w:code="9"/>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4117" w14:textId="77777777" w:rsidR="0041449F" w:rsidRDefault="0041449F">
      <w:pPr>
        <w:spacing w:before="0" w:line="240" w:lineRule="auto"/>
      </w:pPr>
      <w:r>
        <w:separator/>
      </w:r>
    </w:p>
  </w:endnote>
  <w:endnote w:type="continuationSeparator" w:id="0">
    <w:p w14:paraId="575CFD00" w14:textId="77777777" w:rsidR="0041449F" w:rsidRDefault="0041449F">
      <w:pPr>
        <w:spacing w:before="0" w:line="240" w:lineRule="auto"/>
      </w:pPr>
      <w:r>
        <w:continuationSeparator/>
      </w:r>
    </w:p>
  </w:endnote>
  <w:endnote w:type="continuationNotice" w:id="1">
    <w:p w14:paraId="5872086F" w14:textId="77777777" w:rsidR="0041449F" w:rsidRDefault="0041449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554C3E2E-F659-4910-83EC-224DCE1AF51E}"/>
  </w:font>
  <w:font w:name="Effra">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embedRegular r:id="rId2" w:fontKey="{C78C8CBB-A0E7-404D-AEA4-704BAF0D8EA2}"/>
  </w:font>
  <w:font w:name="Effra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596" w14:textId="0AB96016" w:rsidR="001C4E5B" w:rsidRPr="00F83BB9" w:rsidRDefault="000F7D30" w:rsidP="00F83BB9">
    <w:pPr>
      <w:pStyle w:val="Header"/>
    </w:pPr>
    <w:r w:rsidRPr="00F83BB9">
      <w:t xml:space="preserve">©University of Reading </w:t>
    </w:r>
    <w:r w:rsidRPr="00F83BB9">
      <w:fldChar w:fldCharType="begin"/>
    </w:r>
    <w:r w:rsidRPr="00F83BB9">
      <w:instrText xml:space="preserve"> DATE  \@ "YYYY"  \* MERGEFORMAT </w:instrText>
    </w:r>
    <w:r w:rsidRPr="00F83BB9">
      <w:fldChar w:fldCharType="separate"/>
    </w:r>
    <w:r w:rsidR="00CD6898">
      <w:rPr>
        <w:noProof/>
      </w:rPr>
      <w:t>2026</w:t>
    </w:r>
    <w:r w:rsidRPr="00F83BB9">
      <w:fldChar w:fldCharType="end"/>
    </w:r>
    <w:r w:rsidRPr="00F83BB9">
      <w:tab/>
    </w:r>
    <w:r w:rsidRPr="00F83BB9">
      <w:tab/>
      <w:t xml:space="preserve">Page </w:t>
    </w:r>
    <w:r w:rsidRPr="00F83BB9">
      <w:fldChar w:fldCharType="begin"/>
    </w:r>
    <w:r w:rsidRPr="00F83BB9">
      <w:instrText xml:space="preserve"> PAGE </w:instrText>
    </w:r>
    <w:r w:rsidRPr="00F83BB9">
      <w:fldChar w:fldCharType="separate"/>
    </w:r>
    <w:r w:rsidR="0060000B" w:rsidRPr="00F83BB9">
      <w:rPr>
        <w:noProof/>
      </w:rPr>
      <w:t>3</w:t>
    </w:r>
    <w:r w:rsidRPr="00F83B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873" w14:textId="38590242" w:rsidR="006940AE" w:rsidRPr="006940AE" w:rsidRDefault="00841B35" w:rsidP="00F83BB9">
    <w:pPr>
      <w:pStyle w:val="Header"/>
    </w:pPr>
    <w:r>
      <w:t xml:space="preserve">©University of Reading </w:t>
    </w:r>
    <w:r>
      <w:fldChar w:fldCharType="begin"/>
    </w:r>
    <w:r>
      <w:instrText xml:space="preserve"> DATE  \@ "YYYY"  \* MERGEFORMAT </w:instrText>
    </w:r>
    <w:r>
      <w:fldChar w:fldCharType="separate"/>
    </w:r>
    <w:r w:rsidR="00CD6898">
      <w:rPr>
        <w:noProof/>
      </w:rPr>
      <w:t>2026</w:t>
    </w:r>
    <w:r>
      <w:fldChar w:fldCharType="end"/>
    </w:r>
    <w:r>
      <w:tab/>
    </w:r>
    <w:r>
      <w:tab/>
      <w:t xml:space="preserve">Page </w:t>
    </w:r>
    <w:r w:rsidRPr="007A6817">
      <w:fldChar w:fldCharType="begin"/>
    </w:r>
    <w:r w:rsidRPr="007A6817">
      <w:instrText xml:space="preserve"> PAGE </w:instrText>
    </w:r>
    <w:r w:rsidRPr="007A6817">
      <w:fldChar w:fldCharType="separate"/>
    </w:r>
    <w:r w:rsidR="0038453C">
      <w:rPr>
        <w:noProof/>
      </w:rPr>
      <w:t>1</w:t>
    </w:r>
    <w:r w:rsidRPr="007A68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867F" w14:textId="77777777" w:rsidR="0041449F" w:rsidRDefault="0041449F">
      <w:pPr>
        <w:spacing w:before="0" w:line="240" w:lineRule="auto"/>
      </w:pPr>
      <w:bookmarkStart w:id="0" w:name="_Hlk191545550"/>
      <w:bookmarkEnd w:id="0"/>
      <w:r>
        <w:separator/>
      </w:r>
    </w:p>
  </w:footnote>
  <w:footnote w:type="continuationSeparator" w:id="0">
    <w:p w14:paraId="68540391" w14:textId="77777777" w:rsidR="0041449F" w:rsidRDefault="0041449F">
      <w:pPr>
        <w:spacing w:before="0" w:line="240" w:lineRule="auto"/>
      </w:pPr>
      <w:r>
        <w:continuationSeparator/>
      </w:r>
    </w:p>
  </w:footnote>
  <w:footnote w:type="continuationNotice" w:id="1">
    <w:p w14:paraId="468230DE" w14:textId="77777777" w:rsidR="0041449F" w:rsidRDefault="0041449F">
      <w:pPr>
        <w:spacing w:before="0" w:line="240" w:lineRule="auto"/>
      </w:pPr>
    </w:p>
  </w:footnote>
  <w:footnote w:id="2">
    <w:p w14:paraId="79D6BC8D" w14:textId="77777777" w:rsidR="00A87BA4" w:rsidRDefault="00A87BA4" w:rsidP="00A87BA4">
      <w:pPr>
        <w:pStyle w:val="FootnoteText"/>
        <w:rPr>
          <w:noProof/>
          <w:sz w:val="24"/>
          <w:szCs w:val="24"/>
        </w:rPr>
      </w:pPr>
      <w:r>
        <w:rPr>
          <w:rStyle w:val="FootnoteReference"/>
        </w:rPr>
        <w:footnoteRef/>
      </w:r>
      <w:r>
        <w:t xml:space="preserve"> </w:t>
      </w:r>
      <w:r>
        <w:fldChar w:fldCharType="begin"/>
      </w:r>
      <w:r>
        <w:instrText xml:space="preserve"> BIBLIOGRAPHY  \l 2057 </w:instrText>
      </w:r>
      <w:r>
        <w:fldChar w:fldCharType="separate"/>
      </w:r>
      <w:r>
        <w:rPr>
          <w:noProof/>
        </w:rPr>
        <w:t xml:space="preserve">Zhang, J. and. Yu. K. (1998) 'What's the relative risk? A method of correcting the odds ratio in cohort studies of common outcomes', </w:t>
      </w:r>
      <w:r>
        <w:rPr>
          <w:i/>
          <w:iCs/>
          <w:noProof/>
        </w:rPr>
        <w:t xml:space="preserve">Journal of the American Medical Association, </w:t>
      </w:r>
      <w:r>
        <w:rPr>
          <w:noProof/>
        </w:rPr>
        <w:t>280(19), pp. 1690-1.</w:t>
      </w:r>
    </w:p>
    <w:p w14:paraId="3E0C6363" w14:textId="77777777" w:rsidR="00A87BA4" w:rsidRDefault="00A87BA4" w:rsidP="00A87BA4">
      <w:pPr>
        <w:pStyle w:val="FootnoteText"/>
      </w:pP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E05E" w14:textId="069D63E8" w:rsidR="0038453C" w:rsidRPr="000F7D30" w:rsidRDefault="00062FE8" w:rsidP="00F83BB9">
    <w:pPr>
      <w:pStyle w:val="Header"/>
    </w:pPr>
    <w:r w:rsidRPr="000C4665">
      <w:t xml:space="preserve">APP </w:t>
    </w:r>
    <w:r>
      <w:t>E</w:t>
    </w:r>
    <w:r w:rsidRPr="000C4665">
      <w:t>valuation</w:t>
    </w:r>
    <w:r>
      <w:t xml:space="preserve"> Report - Bursaries</w:t>
    </w:r>
    <w:r w:rsidRPr="000C4665">
      <w:t> </w:t>
    </w:r>
    <w:r>
      <w:t>24/25</w:t>
    </w:r>
    <w:r w:rsidR="003308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E8A9" w14:textId="6A80EEEC" w:rsidR="00EC4BD3" w:rsidRDefault="000C4665" w:rsidP="00EC4BD3">
    <w:pPr>
      <w:pStyle w:val="UoRUnitname"/>
      <w:rPr>
        <w:noProof/>
        <w:lang w:eastAsia="en-GB"/>
      </w:rPr>
    </w:pPr>
    <w:r w:rsidRPr="000C4665">
      <w:rPr>
        <w:bCs/>
        <w:sz w:val="20"/>
        <w:szCs w:val="20"/>
      </w:rPr>
      <w:t xml:space="preserve">APP </w:t>
    </w:r>
    <w:r w:rsidR="0030386D">
      <w:rPr>
        <w:bCs/>
        <w:sz w:val="20"/>
        <w:szCs w:val="20"/>
      </w:rPr>
      <w:t>E</w:t>
    </w:r>
    <w:r w:rsidRPr="000C4665">
      <w:rPr>
        <w:bCs/>
        <w:sz w:val="20"/>
        <w:szCs w:val="20"/>
      </w:rPr>
      <w:t>valuation</w:t>
    </w:r>
    <w:r w:rsidR="00163995">
      <w:rPr>
        <w:bCs/>
        <w:sz w:val="20"/>
        <w:szCs w:val="20"/>
      </w:rPr>
      <w:t xml:space="preserve"> Report - </w:t>
    </w:r>
    <w:r w:rsidR="008E540B">
      <w:rPr>
        <w:bCs/>
        <w:sz w:val="20"/>
        <w:szCs w:val="20"/>
      </w:rPr>
      <w:t>Bursaries</w:t>
    </w:r>
    <w:r w:rsidRPr="000C4665">
      <w:rPr>
        <w:bCs/>
        <w:sz w:val="20"/>
        <w:szCs w:val="20"/>
      </w:rPr>
      <w:t> </w:t>
    </w:r>
    <w:r w:rsidR="00F36D00">
      <w:rPr>
        <w:bCs/>
        <w:sz w:val="20"/>
        <w:szCs w:val="20"/>
      </w:rPr>
      <w:t>24/25</w:t>
    </w:r>
    <w:r w:rsidR="00EC4BD3">
      <w:br/>
    </w:r>
    <w:r w:rsidR="00EC4BD3">
      <w:br/>
    </w:r>
    <w:r w:rsidR="00EC4BD3">
      <w:ptab w:relativeTo="margin" w:alignment="right" w:leader="none"/>
    </w:r>
    <w:r w:rsidR="00B3693C">
      <w:rPr>
        <w:noProof/>
        <w:lang w:eastAsia="en-GB"/>
      </w:rPr>
      <w:drawing>
        <wp:inline distT="0" distB="0" distL="0" distR="0" wp14:anchorId="06131DFC" wp14:editId="1A5FC9CF">
          <wp:extent cx="1511935" cy="487680"/>
          <wp:effectExtent l="0" t="0" r="0" b="7620"/>
          <wp:docPr id="217862488" name="Picture 217862488"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inline>
      </w:drawing>
    </w:r>
    <w:r w:rsidR="00EC4BD3">
      <w:rPr>
        <w:noProof/>
        <w:lang w:eastAsia="en-GB"/>
      </w:rPr>
      <w:br/>
    </w:r>
  </w:p>
  <w:p w14:paraId="53C70A48" w14:textId="77777777" w:rsidR="00EC4BD3" w:rsidRPr="00EC4BD3" w:rsidRDefault="00EC4BD3" w:rsidP="00EC4BD3">
    <w:pPr>
      <w:pStyle w:val="UoRUnitname"/>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448CE"/>
    <w:multiLevelType w:val="hybridMultilevel"/>
    <w:tmpl w:val="A8BC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A53774"/>
    <w:multiLevelType w:val="multilevel"/>
    <w:tmpl w:val="53A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F12B0B"/>
    <w:multiLevelType w:val="multilevel"/>
    <w:tmpl w:val="169A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403F2"/>
    <w:multiLevelType w:val="hybridMultilevel"/>
    <w:tmpl w:val="18A8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8A06D68"/>
    <w:multiLevelType w:val="multilevel"/>
    <w:tmpl w:val="0312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AF2BCE"/>
    <w:multiLevelType w:val="hybridMultilevel"/>
    <w:tmpl w:val="729C4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5C5B55"/>
    <w:multiLevelType w:val="hybridMultilevel"/>
    <w:tmpl w:val="32765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63735A"/>
    <w:multiLevelType w:val="multilevel"/>
    <w:tmpl w:val="1A9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F95BB1"/>
    <w:multiLevelType w:val="hybridMultilevel"/>
    <w:tmpl w:val="C954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2F6015"/>
    <w:multiLevelType w:val="hybridMultilevel"/>
    <w:tmpl w:val="B654437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3C344E1E"/>
    <w:multiLevelType w:val="multilevel"/>
    <w:tmpl w:val="5A56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63D05"/>
    <w:multiLevelType w:val="hybridMultilevel"/>
    <w:tmpl w:val="11B0CACA"/>
    <w:lvl w:ilvl="0" w:tplc="F3F6AC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06B54"/>
    <w:multiLevelType w:val="multilevel"/>
    <w:tmpl w:val="652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F22A11"/>
    <w:multiLevelType w:val="hybridMultilevel"/>
    <w:tmpl w:val="088E9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272D3"/>
    <w:multiLevelType w:val="multilevel"/>
    <w:tmpl w:val="99B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E70632"/>
    <w:multiLevelType w:val="hybridMultilevel"/>
    <w:tmpl w:val="C794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07343"/>
    <w:multiLevelType w:val="hybridMultilevel"/>
    <w:tmpl w:val="4E8C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554585"/>
    <w:multiLevelType w:val="multilevel"/>
    <w:tmpl w:val="7C3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66001"/>
    <w:multiLevelType w:val="hybridMultilevel"/>
    <w:tmpl w:val="9D8692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8F319C8"/>
    <w:multiLevelType w:val="hybridMultilevel"/>
    <w:tmpl w:val="6990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40BFD"/>
    <w:multiLevelType w:val="multilevel"/>
    <w:tmpl w:val="2662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E0309D"/>
    <w:multiLevelType w:val="multilevel"/>
    <w:tmpl w:val="51BE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8C61F9"/>
    <w:multiLevelType w:val="hybridMultilevel"/>
    <w:tmpl w:val="CDD6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478620">
    <w:abstractNumId w:val="14"/>
  </w:num>
  <w:num w:numId="2" w16cid:durableId="342519249">
    <w:abstractNumId w:val="33"/>
  </w:num>
  <w:num w:numId="3" w16cid:durableId="1392655152">
    <w:abstractNumId w:val="17"/>
  </w:num>
  <w:num w:numId="4" w16cid:durableId="963468393">
    <w:abstractNumId w:val="9"/>
  </w:num>
  <w:num w:numId="5" w16cid:durableId="1540358401">
    <w:abstractNumId w:val="7"/>
  </w:num>
  <w:num w:numId="6" w16cid:durableId="1583441856">
    <w:abstractNumId w:val="6"/>
  </w:num>
  <w:num w:numId="7" w16cid:durableId="740371694">
    <w:abstractNumId w:val="5"/>
  </w:num>
  <w:num w:numId="8" w16cid:durableId="1496991704">
    <w:abstractNumId w:val="4"/>
  </w:num>
  <w:num w:numId="9" w16cid:durableId="273901255">
    <w:abstractNumId w:val="8"/>
  </w:num>
  <w:num w:numId="10" w16cid:durableId="2017295899">
    <w:abstractNumId w:val="3"/>
  </w:num>
  <w:num w:numId="11" w16cid:durableId="555355779">
    <w:abstractNumId w:val="2"/>
  </w:num>
  <w:num w:numId="12" w16cid:durableId="657005260">
    <w:abstractNumId w:val="1"/>
  </w:num>
  <w:num w:numId="13" w16cid:durableId="128862329">
    <w:abstractNumId w:val="0"/>
  </w:num>
  <w:num w:numId="14" w16cid:durableId="590939041">
    <w:abstractNumId w:val="16"/>
  </w:num>
  <w:num w:numId="15" w16cid:durableId="1787770589">
    <w:abstractNumId w:val="18"/>
  </w:num>
  <w:num w:numId="16" w16cid:durableId="136652051">
    <w:abstractNumId w:val="23"/>
  </w:num>
  <w:num w:numId="17" w16cid:durableId="91366575">
    <w:abstractNumId w:val="19"/>
  </w:num>
  <w:num w:numId="18" w16cid:durableId="1958638642">
    <w:abstractNumId w:val="11"/>
  </w:num>
  <w:num w:numId="19" w16cid:durableId="1812475371">
    <w:abstractNumId w:val="32"/>
  </w:num>
  <w:num w:numId="20" w16cid:durableId="26293948">
    <w:abstractNumId w:val="24"/>
  </w:num>
  <w:num w:numId="21" w16cid:durableId="1020203374">
    <w:abstractNumId w:val="34"/>
  </w:num>
  <w:num w:numId="22" w16cid:durableId="477383593">
    <w:abstractNumId w:val="15"/>
  </w:num>
  <w:num w:numId="23" w16cid:durableId="1358893465">
    <w:abstractNumId w:val="26"/>
  </w:num>
  <w:num w:numId="24" w16cid:durableId="667975093">
    <w:abstractNumId w:val="22"/>
  </w:num>
  <w:num w:numId="25" w16cid:durableId="146363661">
    <w:abstractNumId w:val="29"/>
  </w:num>
  <w:num w:numId="26" w16cid:durableId="2142797496">
    <w:abstractNumId w:val="12"/>
  </w:num>
  <w:num w:numId="27" w16cid:durableId="840586715">
    <w:abstractNumId w:val="10"/>
  </w:num>
  <w:num w:numId="28" w16cid:durableId="708604794">
    <w:abstractNumId w:val="31"/>
  </w:num>
  <w:num w:numId="29" w16cid:durableId="19622922">
    <w:abstractNumId w:val="13"/>
  </w:num>
  <w:num w:numId="30" w16cid:durableId="972948608">
    <w:abstractNumId w:val="30"/>
  </w:num>
  <w:num w:numId="31" w16cid:durableId="1648313576">
    <w:abstractNumId w:val="21"/>
  </w:num>
  <w:num w:numId="32" w16cid:durableId="1978564584">
    <w:abstractNumId w:val="25"/>
  </w:num>
  <w:num w:numId="33" w16cid:durableId="547836993">
    <w:abstractNumId w:val="35"/>
  </w:num>
  <w:num w:numId="34" w16cid:durableId="1107506591">
    <w:abstractNumId w:val="27"/>
  </w:num>
  <w:num w:numId="35" w16cid:durableId="541013917">
    <w:abstractNumId w:val="28"/>
  </w:num>
  <w:num w:numId="36" w16cid:durableId="1829400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C"/>
    <w:rsid w:val="00001A61"/>
    <w:rsid w:val="00010E13"/>
    <w:rsid w:val="000110BF"/>
    <w:rsid w:val="0001536C"/>
    <w:rsid w:val="000168DE"/>
    <w:rsid w:val="000215FE"/>
    <w:rsid w:val="00022C5B"/>
    <w:rsid w:val="00030F0B"/>
    <w:rsid w:val="00031021"/>
    <w:rsid w:val="000343AB"/>
    <w:rsid w:val="00034F19"/>
    <w:rsid w:val="0003783F"/>
    <w:rsid w:val="000421DD"/>
    <w:rsid w:val="00045527"/>
    <w:rsid w:val="0004662E"/>
    <w:rsid w:val="000544DB"/>
    <w:rsid w:val="00056F66"/>
    <w:rsid w:val="000574C9"/>
    <w:rsid w:val="00062060"/>
    <w:rsid w:val="000625D7"/>
    <w:rsid w:val="00062FE8"/>
    <w:rsid w:val="00064CCD"/>
    <w:rsid w:val="00065212"/>
    <w:rsid w:val="00065241"/>
    <w:rsid w:val="000669C7"/>
    <w:rsid w:val="000774C2"/>
    <w:rsid w:val="00081F33"/>
    <w:rsid w:val="00092F95"/>
    <w:rsid w:val="00094467"/>
    <w:rsid w:val="000A3A01"/>
    <w:rsid w:val="000A3BB7"/>
    <w:rsid w:val="000A5A26"/>
    <w:rsid w:val="000A6857"/>
    <w:rsid w:val="000B1F81"/>
    <w:rsid w:val="000B43D6"/>
    <w:rsid w:val="000B50D4"/>
    <w:rsid w:val="000B6C45"/>
    <w:rsid w:val="000C4665"/>
    <w:rsid w:val="000D0E5B"/>
    <w:rsid w:val="000D55FD"/>
    <w:rsid w:val="000D6421"/>
    <w:rsid w:val="000D6CEF"/>
    <w:rsid w:val="000E1538"/>
    <w:rsid w:val="000E4B9B"/>
    <w:rsid w:val="000F31E9"/>
    <w:rsid w:val="000F3B69"/>
    <w:rsid w:val="000F49D3"/>
    <w:rsid w:val="000F7D30"/>
    <w:rsid w:val="001000D4"/>
    <w:rsid w:val="00100787"/>
    <w:rsid w:val="001229BC"/>
    <w:rsid w:val="00123C12"/>
    <w:rsid w:val="00133D6D"/>
    <w:rsid w:val="00144AA5"/>
    <w:rsid w:val="00145040"/>
    <w:rsid w:val="001453CA"/>
    <w:rsid w:val="00147509"/>
    <w:rsid w:val="0015425F"/>
    <w:rsid w:val="0016077D"/>
    <w:rsid w:val="00163995"/>
    <w:rsid w:val="00165CB6"/>
    <w:rsid w:val="00171318"/>
    <w:rsid w:val="0017400D"/>
    <w:rsid w:val="0018062B"/>
    <w:rsid w:val="001850C3"/>
    <w:rsid w:val="00187994"/>
    <w:rsid w:val="00196384"/>
    <w:rsid w:val="001A52F7"/>
    <w:rsid w:val="001A5CA5"/>
    <w:rsid w:val="001B106F"/>
    <w:rsid w:val="001B2A4D"/>
    <w:rsid w:val="001B2C8C"/>
    <w:rsid w:val="001B43BB"/>
    <w:rsid w:val="001C30E9"/>
    <w:rsid w:val="001C4432"/>
    <w:rsid w:val="001C4E5B"/>
    <w:rsid w:val="001C6530"/>
    <w:rsid w:val="001D2E2E"/>
    <w:rsid w:val="001D38E7"/>
    <w:rsid w:val="001E0D4E"/>
    <w:rsid w:val="001E5B79"/>
    <w:rsid w:val="001E6300"/>
    <w:rsid w:val="001F1104"/>
    <w:rsid w:val="00211647"/>
    <w:rsid w:val="00215532"/>
    <w:rsid w:val="00217E98"/>
    <w:rsid w:val="00220BD0"/>
    <w:rsid w:val="00222920"/>
    <w:rsid w:val="00225E1B"/>
    <w:rsid w:val="0023174D"/>
    <w:rsid w:val="0023682B"/>
    <w:rsid w:val="0024159C"/>
    <w:rsid w:val="00241E91"/>
    <w:rsid w:val="002423F8"/>
    <w:rsid w:val="00253FEA"/>
    <w:rsid w:val="0025738C"/>
    <w:rsid w:val="0026274C"/>
    <w:rsid w:val="002677DD"/>
    <w:rsid w:val="0027058D"/>
    <w:rsid w:val="0027676A"/>
    <w:rsid w:val="00280C58"/>
    <w:rsid w:val="00282C02"/>
    <w:rsid w:val="00283B50"/>
    <w:rsid w:val="002842EB"/>
    <w:rsid w:val="002842FD"/>
    <w:rsid w:val="002A0144"/>
    <w:rsid w:val="002A0A7D"/>
    <w:rsid w:val="002A4623"/>
    <w:rsid w:val="002A63D3"/>
    <w:rsid w:val="002A7332"/>
    <w:rsid w:val="002B1FE3"/>
    <w:rsid w:val="002B23D7"/>
    <w:rsid w:val="002C5582"/>
    <w:rsid w:val="002C7314"/>
    <w:rsid w:val="002D1E0B"/>
    <w:rsid w:val="002D34F2"/>
    <w:rsid w:val="002D623D"/>
    <w:rsid w:val="002D73F0"/>
    <w:rsid w:val="002E55E4"/>
    <w:rsid w:val="002E5D94"/>
    <w:rsid w:val="002F0973"/>
    <w:rsid w:val="002F286A"/>
    <w:rsid w:val="002F5C09"/>
    <w:rsid w:val="00301592"/>
    <w:rsid w:val="0030386D"/>
    <w:rsid w:val="00303FA9"/>
    <w:rsid w:val="00306761"/>
    <w:rsid w:val="00306B96"/>
    <w:rsid w:val="00306DFD"/>
    <w:rsid w:val="0031303B"/>
    <w:rsid w:val="00326C7D"/>
    <w:rsid w:val="003308A7"/>
    <w:rsid w:val="0033255E"/>
    <w:rsid w:val="00342B86"/>
    <w:rsid w:val="00350E25"/>
    <w:rsid w:val="00352B51"/>
    <w:rsid w:val="003539E4"/>
    <w:rsid w:val="003545E6"/>
    <w:rsid w:val="00357F60"/>
    <w:rsid w:val="00375183"/>
    <w:rsid w:val="00380929"/>
    <w:rsid w:val="00381217"/>
    <w:rsid w:val="0038453C"/>
    <w:rsid w:val="00391E4B"/>
    <w:rsid w:val="003A2978"/>
    <w:rsid w:val="003A4F36"/>
    <w:rsid w:val="003B2D8C"/>
    <w:rsid w:val="003B708E"/>
    <w:rsid w:val="003C5121"/>
    <w:rsid w:val="003D4713"/>
    <w:rsid w:val="003E1ED1"/>
    <w:rsid w:val="003E5499"/>
    <w:rsid w:val="0040099E"/>
    <w:rsid w:val="00402D6A"/>
    <w:rsid w:val="00410551"/>
    <w:rsid w:val="0041449F"/>
    <w:rsid w:val="0041626B"/>
    <w:rsid w:val="004213E3"/>
    <w:rsid w:val="004226CF"/>
    <w:rsid w:val="004235AC"/>
    <w:rsid w:val="004247CF"/>
    <w:rsid w:val="0043498D"/>
    <w:rsid w:val="00444E64"/>
    <w:rsid w:val="004453BE"/>
    <w:rsid w:val="0045399B"/>
    <w:rsid w:val="004654A7"/>
    <w:rsid w:val="00465542"/>
    <w:rsid w:val="004702F3"/>
    <w:rsid w:val="0047112C"/>
    <w:rsid w:val="00475F0C"/>
    <w:rsid w:val="004811DD"/>
    <w:rsid w:val="00482A06"/>
    <w:rsid w:val="004850EE"/>
    <w:rsid w:val="004865B8"/>
    <w:rsid w:val="004877BB"/>
    <w:rsid w:val="00491262"/>
    <w:rsid w:val="004A061C"/>
    <w:rsid w:val="004A0924"/>
    <w:rsid w:val="004A5486"/>
    <w:rsid w:val="004A6E40"/>
    <w:rsid w:val="004B392F"/>
    <w:rsid w:val="004C2048"/>
    <w:rsid w:val="004C6B08"/>
    <w:rsid w:val="004C7572"/>
    <w:rsid w:val="004D247B"/>
    <w:rsid w:val="004E24F4"/>
    <w:rsid w:val="00501FDB"/>
    <w:rsid w:val="0050286A"/>
    <w:rsid w:val="00504980"/>
    <w:rsid w:val="00512A40"/>
    <w:rsid w:val="00514E28"/>
    <w:rsid w:val="00515B13"/>
    <w:rsid w:val="00515E2D"/>
    <w:rsid w:val="005167D6"/>
    <w:rsid w:val="005177F3"/>
    <w:rsid w:val="005246E5"/>
    <w:rsid w:val="00530CCF"/>
    <w:rsid w:val="005342C0"/>
    <w:rsid w:val="005370D2"/>
    <w:rsid w:val="00542315"/>
    <w:rsid w:val="00544F1B"/>
    <w:rsid w:val="0054508E"/>
    <w:rsid w:val="00550FD5"/>
    <w:rsid w:val="00553C01"/>
    <w:rsid w:val="005554E1"/>
    <w:rsid w:val="00555B45"/>
    <w:rsid w:val="00557173"/>
    <w:rsid w:val="00560766"/>
    <w:rsid w:val="0056336B"/>
    <w:rsid w:val="00564FF5"/>
    <w:rsid w:val="00570D10"/>
    <w:rsid w:val="00571EFB"/>
    <w:rsid w:val="00573F16"/>
    <w:rsid w:val="00575942"/>
    <w:rsid w:val="00590321"/>
    <w:rsid w:val="0059359C"/>
    <w:rsid w:val="0059446B"/>
    <w:rsid w:val="005A0648"/>
    <w:rsid w:val="005B40CC"/>
    <w:rsid w:val="005B7F0F"/>
    <w:rsid w:val="005C58E7"/>
    <w:rsid w:val="005D3119"/>
    <w:rsid w:val="005D6C5D"/>
    <w:rsid w:val="005E144A"/>
    <w:rsid w:val="005E2260"/>
    <w:rsid w:val="005F036B"/>
    <w:rsid w:val="005F0456"/>
    <w:rsid w:val="0060000B"/>
    <w:rsid w:val="006010F6"/>
    <w:rsid w:val="006020C3"/>
    <w:rsid w:val="00614981"/>
    <w:rsid w:val="006245F7"/>
    <w:rsid w:val="00627803"/>
    <w:rsid w:val="0063147F"/>
    <w:rsid w:val="0063206C"/>
    <w:rsid w:val="00636C2F"/>
    <w:rsid w:val="006407A6"/>
    <w:rsid w:val="006415AB"/>
    <w:rsid w:val="00644734"/>
    <w:rsid w:val="006478B7"/>
    <w:rsid w:val="00651555"/>
    <w:rsid w:val="0066740D"/>
    <w:rsid w:val="0067191F"/>
    <w:rsid w:val="0067220E"/>
    <w:rsid w:val="006740B5"/>
    <w:rsid w:val="00681F0F"/>
    <w:rsid w:val="00682F13"/>
    <w:rsid w:val="00683DF0"/>
    <w:rsid w:val="006940AE"/>
    <w:rsid w:val="0069429E"/>
    <w:rsid w:val="00694997"/>
    <w:rsid w:val="006972CF"/>
    <w:rsid w:val="006A0894"/>
    <w:rsid w:val="006A118C"/>
    <w:rsid w:val="006B26C8"/>
    <w:rsid w:val="006B2D0C"/>
    <w:rsid w:val="006B5A48"/>
    <w:rsid w:val="006B7ACC"/>
    <w:rsid w:val="006C7120"/>
    <w:rsid w:val="006D189C"/>
    <w:rsid w:val="006E444B"/>
    <w:rsid w:val="006E498F"/>
    <w:rsid w:val="006E6A76"/>
    <w:rsid w:val="006F7118"/>
    <w:rsid w:val="006F75C8"/>
    <w:rsid w:val="00706F15"/>
    <w:rsid w:val="00707035"/>
    <w:rsid w:val="00715222"/>
    <w:rsid w:val="00727CE4"/>
    <w:rsid w:val="00732124"/>
    <w:rsid w:val="0073292D"/>
    <w:rsid w:val="00746E49"/>
    <w:rsid w:val="00750C17"/>
    <w:rsid w:val="00752910"/>
    <w:rsid w:val="007565F3"/>
    <w:rsid w:val="00756835"/>
    <w:rsid w:val="00757BD6"/>
    <w:rsid w:val="00760939"/>
    <w:rsid w:val="00763FBE"/>
    <w:rsid w:val="00771B5E"/>
    <w:rsid w:val="007743B4"/>
    <w:rsid w:val="007830C4"/>
    <w:rsid w:val="00792660"/>
    <w:rsid w:val="00793507"/>
    <w:rsid w:val="00793935"/>
    <w:rsid w:val="00794B2D"/>
    <w:rsid w:val="00795596"/>
    <w:rsid w:val="007A35A9"/>
    <w:rsid w:val="007A6D88"/>
    <w:rsid w:val="007A7B63"/>
    <w:rsid w:val="007B1541"/>
    <w:rsid w:val="007B4D98"/>
    <w:rsid w:val="007C214D"/>
    <w:rsid w:val="007C297C"/>
    <w:rsid w:val="007C6065"/>
    <w:rsid w:val="007D1BF5"/>
    <w:rsid w:val="007D3470"/>
    <w:rsid w:val="007E0C92"/>
    <w:rsid w:val="007E0D6C"/>
    <w:rsid w:val="007E1711"/>
    <w:rsid w:val="007E2173"/>
    <w:rsid w:val="007E25B4"/>
    <w:rsid w:val="007E56F2"/>
    <w:rsid w:val="007E7053"/>
    <w:rsid w:val="00802F7A"/>
    <w:rsid w:val="0080422D"/>
    <w:rsid w:val="00804D72"/>
    <w:rsid w:val="0081737A"/>
    <w:rsid w:val="008177CD"/>
    <w:rsid w:val="00817814"/>
    <w:rsid w:val="00825037"/>
    <w:rsid w:val="008263B6"/>
    <w:rsid w:val="008331BC"/>
    <w:rsid w:val="00835473"/>
    <w:rsid w:val="008407E8"/>
    <w:rsid w:val="00841B35"/>
    <w:rsid w:val="00844288"/>
    <w:rsid w:val="00846063"/>
    <w:rsid w:val="00852504"/>
    <w:rsid w:val="00856BCF"/>
    <w:rsid w:val="008716FB"/>
    <w:rsid w:val="00872F6D"/>
    <w:rsid w:val="0087484E"/>
    <w:rsid w:val="00874E54"/>
    <w:rsid w:val="00877927"/>
    <w:rsid w:val="00881456"/>
    <w:rsid w:val="00883B63"/>
    <w:rsid w:val="00887180"/>
    <w:rsid w:val="00895BDA"/>
    <w:rsid w:val="00897F24"/>
    <w:rsid w:val="008A2C28"/>
    <w:rsid w:val="008A3458"/>
    <w:rsid w:val="008A3860"/>
    <w:rsid w:val="008B564C"/>
    <w:rsid w:val="008B6699"/>
    <w:rsid w:val="008B74E2"/>
    <w:rsid w:val="008C318C"/>
    <w:rsid w:val="008D0325"/>
    <w:rsid w:val="008D1745"/>
    <w:rsid w:val="008D1DB3"/>
    <w:rsid w:val="008D4034"/>
    <w:rsid w:val="008E540B"/>
    <w:rsid w:val="008E5FD3"/>
    <w:rsid w:val="008F6FB3"/>
    <w:rsid w:val="008F7DED"/>
    <w:rsid w:val="00915649"/>
    <w:rsid w:val="00915A5A"/>
    <w:rsid w:val="00924F7E"/>
    <w:rsid w:val="00931109"/>
    <w:rsid w:val="00935394"/>
    <w:rsid w:val="009411C9"/>
    <w:rsid w:val="009417C4"/>
    <w:rsid w:val="00951336"/>
    <w:rsid w:val="0095156A"/>
    <w:rsid w:val="009546BE"/>
    <w:rsid w:val="00955EB7"/>
    <w:rsid w:val="009579CC"/>
    <w:rsid w:val="009721D4"/>
    <w:rsid w:val="0097757D"/>
    <w:rsid w:val="00982F34"/>
    <w:rsid w:val="00986307"/>
    <w:rsid w:val="00995198"/>
    <w:rsid w:val="009959BC"/>
    <w:rsid w:val="00997E1A"/>
    <w:rsid w:val="009A238F"/>
    <w:rsid w:val="009A3AD0"/>
    <w:rsid w:val="009A5741"/>
    <w:rsid w:val="009A5AC8"/>
    <w:rsid w:val="009B002C"/>
    <w:rsid w:val="009B2309"/>
    <w:rsid w:val="009C0E5C"/>
    <w:rsid w:val="009D007D"/>
    <w:rsid w:val="009D1303"/>
    <w:rsid w:val="009D2613"/>
    <w:rsid w:val="009D5B71"/>
    <w:rsid w:val="009D5D61"/>
    <w:rsid w:val="009E20C3"/>
    <w:rsid w:val="009E72C7"/>
    <w:rsid w:val="009F12D0"/>
    <w:rsid w:val="009F2A43"/>
    <w:rsid w:val="00A002C9"/>
    <w:rsid w:val="00A04717"/>
    <w:rsid w:val="00A04DAB"/>
    <w:rsid w:val="00A05B54"/>
    <w:rsid w:val="00A06368"/>
    <w:rsid w:val="00A06D0F"/>
    <w:rsid w:val="00A105B9"/>
    <w:rsid w:val="00A13645"/>
    <w:rsid w:val="00A14052"/>
    <w:rsid w:val="00A16E2C"/>
    <w:rsid w:val="00A2240A"/>
    <w:rsid w:val="00A22DB5"/>
    <w:rsid w:val="00A2569E"/>
    <w:rsid w:val="00A2726F"/>
    <w:rsid w:val="00A34399"/>
    <w:rsid w:val="00A343D8"/>
    <w:rsid w:val="00A41956"/>
    <w:rsid w:val="00A56741"/>
    <w:rsid w:val="00A616E3"/>
    <w:rsid w:val="00A626BB"/>
    <w:rsid w:val="00A72404"/>
    <w:rsid w:val="00A75B6A"/>
    <w:rsid w:val="00A772FA"/>
    <w:rsid w:val="00A77F9B"/>
    <w:rsid w:val="00A8347F"/>
    <w:rsid w:val="00A874DF"/>
    <w:rsid w:val="00A87BA4"/>
    <w:rsid w:val="00A91ECD"/>
    <w:rsid w:val="00A92073"/>
    <w:rsid w:val="00A9436E"/>
    <w:rsid w:val="00A967C5"/>
    <w:rsid w:val="00A96EDA"/>
    <w:rsid w:val="00AA162D"/>
    <w:rsid w:val="00AA2083"/>
    <w:rsid w:val="00AA47AB"/>
    <w:rsid w:val="00AB6782"/>
    <w:rsid w:val="00AC248F"/>
    <w:rsid w:val="00AC330C"/>
    <w:rsid w:val="00AC73C8"/>
    <w:rsid w:val="00AD26E7"/>
    <w:rsid w:val="00AD3CD4"/>
    <w:rsid w:val="00AD58A7"/>
    <w:rsid w:val="00AD6D61"/>
    <w:rsid w:val="00AE53F9"/>
    <w:rsid w:val="00AF76CD"/>
    <w:rsid w:val="00B01150"/>
    <w:rsid w:val="00B024E6"/>
    <w:rsid w:val="00B05FD0"/>
    <w:rsid w:val="00B103A4"/>
    <w:rsid w:val="00B124C0"/>
    <w:rsid w:val="00B20C76"/>
    <w:rsid w:val="00B253C8"/>
    <w:rsid w:val="00B3693C"/>
    <w:rsid w:val="00B47814"/>
    <w:rsid w:val="00B53AD4"/>
    <w:rsid w:val="00B601F7"/>
    <w:rsid w:val="00B6303A"/>
    <w:rsid w:val="00B73721"/>
    <w:rsid w:val="00B75CE7"/>
    <w:rsid w:val="00B815DF"/>
    <w:rsid w:val="00B84C14"/>
    <w:rsid w:val="00BA6A1F"/>
    <w:rsid w:val="00BB22EA"/>
    <w:rsid w:val="00BB5D7B"/>
    <w:rsid w:val="00BC01DD"/>
    <w:rsid w:val="00BC2D3E"/>
    <w:rsid w:val="00BC48FB"/>
    <w:rsid w:val="00BD0305"/>
    <w:rsid w:val="00BD23B9"/>
    <w:rsid w:val="00BD40C1"/>
    <w:rsid w:val="00BD459B"/>
    <w:rsid w:val="00BE6D92"/>
    <w:rsid w:val="00BF0432"/>
    <w:rsid w:val="00BF520F"/>
    <w:rsid w:val="00BF5D29"/>
    <w:rsid w:val="00C03592"/>
    <w:rsid w:val="00C062F5"/>
    <w:rsid w:val="00C10D8E"/>
    <w:rsid w:val="00C12984"/>
    <w:rsid w:val="00C22F88"/>
    <w:rsid w:val="00C23489"/>
    <w:rsid w:val="00C24A78"/>
    <w:rsid w:val="00C2568E"/>
    <w:rsid w:val="00C27263"/>
    <w:rsid w:val="00C311E0"/>
    <w:rsid w:val="00C3559F"/>
    <w:rsid w:val="00C3657D"/>
    <w:rsid w:val="00C40D1E"/>
    <w:rsid w:val="00C47EEC"/>
    <w:rsid w:val="00C5095F"/>
    <w:rsid w:val="00C56A60"/>
    <w:rsid w:val="00C62DAE"/>
    <w:rsid w:val="00C662DF"/>
    <w:rsid w:val="00C72FC6"/>
    <w:rsid w:val="00C80DB5"/>
    <w:rsid w:val="00C81CF5"/>
    <w:rsid w:val="00CA3E0E"/>
    <w:rsid w:val="00CA45FA"/>
    <w:rsid w:val="00CA610D"/>
    <w:rsid w:val="00CA6FFD"/>
    <w:rsid w:val="00CB1903"/>
    <w:rsid w:val="00CB1A97"/>
    <w:rsid w:val="00CB1F12"/>
    <w:rsid w:val="00CB3EBD"/>
    <w:rsid w:val="00CB6DEE"/>
    <w:rsid w:val="00CB6E07"/>
    <w:rsid w:val="00CB73D2"/>
    <w:rsid w:val="00CB7595"/>
    <w:rsid w:val="00CC1047"/>
    <w:rsid w:val="00CD6898"/>
    <w:rsid w:val="00CD7BA5"/>
    <w:rsid w:val="00CE0CB9"/>
    <w:rsid w:val="00CF6DF6"/>
    <w:rsid w:val="00CF7AC2"/>
    <w:rsid w:val="00D0127C"/>
    <w:rsid w:val="00D068A2"/>
    <w:rsid w:val="00D12328"/>
    <w:rsid w:val="00D14242"/>
    <w:rsid w:val="00D1455C"/>
    <w:rsid w:val="00D174A6"/>
    <w:rsid w:val="00D17B3E"/>
    <w:rsid w:val="00D20051"/>
    <w:rsid w:val="00D2029E"/>
    <w:rsid w:val="00D22E00"/>
    <w:rsid w:val="00D273BB"/>
    <w:rsid w:val="00D30170"/>
    <w:rsid w:val="00D47EFB"/>
    <w:rsid w:val="00D514D5"/>
    <w:rsid w:val="00D53C70"/>
    <w:rsid w:val="00D543D1"/>
    <w:rsid w:val="00D548BC"/>
    <w:rsid w:val="00D60BA1"/>
    <w:rsid w:val="00D61135"/>
    <w:rsid w:val="00D654A7"/>
    <w:rsid w:val="00D730B7"/>
    <w:rsid w:val="00D83D9D"/>
    <w:rsid w:val="00D84349"/>
    <w:rsid w:val="00D849F5"/>
    <w:rsid w:val="00D84C46"/>
    <w:rsid w:val="00D914B6"/>
    <w:rsid w:val="00D94CD7"/>
    <w:rsid w:val="00DB0D1A"/>
    <w:rsid w:val="00DB73F5"/>
    <w:rsid w:val="00DC5953"/>
    <w:rsid w:val="00DC6CAE"/>
    <w:rsid w:val="00DD034D"/>
    <w:rsid w:val="00DD424C"/>
    <w:rsid w:val="00DD43FF"/>
    <w:rsid w:val="00DD5507"/>
    <w:rsid w:val="00DF058D"/>
    <w:rsid w:val="00DF6762"/>
    <w:rsid w:val="00E0363C"/>
    <w:rsid w:val="00E06310"/>
    <w:rsid w:val="00E06E93"/>
    <w:rsid w:val="00E06FFD"/>
    <w:rsid w:val="00E079B4"/>
    <w:rsid w:val="00E10478"/>
    <w:rsid w:val="00E1441C"/>
    <w:rsid w:val="00E2244C"/>
    <w:rsid w:val="00E25B69"/>
    <w:rsid w:val="00E30D35"/>
    <w:rsid w:val="00E32849"/>
    <w:rsid w:val="00E614D3"/>
    <w:rsid w:val="00E65501"/>
    <w:rsid w:val="00E65AF3"/>
    <w:rsid w:val="00E67E88"/>
    <w:rsid w:val="00E72767"/>
    <w:rsid w:val="00E73334"/>
    <w:rsid w:val="00E779AD"/>
    <w:rsid w:val="00E83BBA"/>
    <w:rsid w:val="00E87124"/>
    <w:rsid w:val="00E91A6C"/>
    <w:rsid w:val="00E94DFD"/>
    <w:rsid w:val="00E96A4B"/>
    <w:rsid w:val="00EA1AA9"/>
    <w:rsid w:val="00EB45A8"/>
    <w:rsid w:val="00EC4BD3"/>
    <w:rsid w:val="00ED4F07"/>
    <w:rsid w:val="00ED7D0C"/>
    <w:rsid w:val="00EE0921"/>
    <w:rsid w:val="00EE0E04"/>
    <w:rsid w:val="00EE2F56"/>
    <w:rsid w:val="00EE3479"/>
    <w:rsid w:val="00EE4904"/>
    <w:rsid w:val="00EE5700"/>
    <w:rsid w:val="00F14FA6"/>
    <w:rsid w:val="00F15A7C"/>
    <w:rsid w:val="00F36D00"/>
    <w:rsid w:val="00F40522"/>
    <w:rsid w:val="00F41A24"/>
    <w:rsid w:val="00F42897"/>
    <w:rsid w:val="00F444D2"/>
    <w:rsid w:val="00F46979"/>
    <w:rsid w:val="00F47287"/>
    <w:rsid w:val="00F513B5"/>
    <w:rsid w:val="00F5310C"/>
    <w:rsid w:val="00F56295"/>
    <w:rsid w:val="00F64531"/>
    <w:rsid w:val="00F653EB"/>
    <w:rsid w:val="00F70337"/>
    <w:rsid w:val="00F72F6E"/>
    <w:rsid w:val="00F74C28"/>
    <w:rsid w:val="00F81EAD"/>
    <w:rsid w:val="00F83BB9"/>
    <w:rsid w:val="00F9112D"/>
    <w:rsid w:val="00F94581"/>
    <w:rsid w:val="00F94C7C"/>
    <w:rsid w:val="00F968DE"/>
    <w:rsid w:val="00FA09E2"/>
    <w:rsid w:val="00FA126E"/>
    <w:rsid w:val="00FA68A9"/>
    <w:rsid w:val="00FA777B"/>
    <w:rsid w:val="00FA7BC4"/>
    <w:rsid w:val="00FB3F21"/>
    <w:rsid w:val="00FB4C16"/>
    <w:rsid w:val="00FC0274"/>
    <w:rsid w:val="00FC3551"/>
    <w:rsid w:val="00FC5D01"/>
    <w:rsid w:val="00FC64FB"/>
    <w:rsid w:val="00FC6FBF"/>
    <w:rsid w:val="00FD07F5"/>
    <w:rsid w:val="00FD3C55"/>
    <w:rsid w:val="00FD6535"/>
    <w:rsid w:val="00FE29EC"/>
    <w:rsid w:val="00FE3602"/>
    <w:rsid w:val="00FE3A85"/>
    <w:rsid w:val="00FE54C3"/>
    <w:rsid w:val="00FE557F"/>
    <w:rsid w:val="00FE690C"/>
    <w:rsid w:val="00FF5D57"/>
    <w:rsid w:val="10BF26F7"/>
    <w:rsid w:val="131F1F68"/>
    <w:rsid w:val="28A36B0E"/>
    <w:rsid w:val="2A843676"/>
    <w:rsid w:val="2BA0B95A"/>
    <w:rsid w:val="2CA935F9"/>
    <w:rsid w:val="31FF623E"/>
    <w:rsid w:val="368C387B"/>
    <w:rsid w:val="38D76D93"/>
    <w:rsid w:val="39BDF11C"/>
    <w:rsid w:val="42739F32"/>
    <w:rsid w:val="47FF7C92"/>
    <w:rsid w:val="49FCA5A4"/>
    <w:rsid w:val="4B9CAE97"/>
    <w:rsid w:val="4C44580D"/>
    <w:rsid w:val="4C4590CD"/>
    <w:rsid w:val="4DD38DC9"/>
    <w:rsid w:val="52EA4E9E"/>
    <w:rsid w:val="54251B01"/>
    <w:rsid w:val="5D0D79D5"/>
    <w:rsid w:val="63954299"/>
    <w:rsid w:val="6882801F"/>
    <w:rsid w:val="6C39CB84"/>
    <w:rsid w:val="70D68C31"/>
    <w:rsid w:val="72BD1A25"/>
    <w:rsid w:val="76470A93"/>
    <w:rsid w:val="7C9C3D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2395"/>
  <w15:docId w15:val="{E1402424-8A6E-4A57-82DD-D523DD75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28"/>
    <w:pPr>
      <w:spacing w:before="120" w:after="0" w:line="288" w:lineRule="auto"/>
    </w:pPr>
    <w:rPr>
      <w:rFonts w:ascii="Arial" w:eastAsia="Times New Roman" w:hAnsi="Arial" w:cs="Times New Roman"/>
      <w:sz w:val="24"/>
      <w:lang w:eastAsia="en-GB"/>
    </w:rPr>
  </w:style>
  <w:style w:type="paragraph" w:styleId="Heading1">
    <w:name w:val="heading 1"/>
    <w:next w:val="Normal"/>
    <w:link w:val="Heading1Char"/>
    <w:autoRedefine/>
    <w:qFormat/>
    <w:rsid w:val="0038453C"/>
    <w:pPr>
      <w:keepNext/>
      <w:keepLines/>
      <w:spacing w:before="480" w:after="60" w:line="240" w:lineRule="auto"/>
      <w:outlineLvl w:val="0"/>
    </w:pPr>
    <w:rPr>
      <w:rFonts w:ascii="Arial Bold" w:eastAsia="Times New Roman" w:hAnsi="Arial Bold" w:cs="Arial"/>
      <w:b/>
      <w:bCs/>
      <w:color w:val="D2002E" w:themeColor="accent1"/>
      <w:kern w:val="32"/>
      <w:sz w:val="44"/>
      <w:szCs w:val="32"/>
    </w:rPr>
  </w:style>
  <w:style w:type="paragraph" w:styleId="Heading2">
    <w:name w:val="heading 2"/>
    <w:next w:val="Normal"/>
    <w:link w:val="Heading2Char"/>
    <w:autoRedefine/>
    <w:qFormat/>
    <w:rsid w:val="0038453C"/>
    <w:pPr>
      <w:spacing w:before="360" w:after="60" w:line="240" w:lineRule="auto"/>
      <w:outlineLvl w:val="1"/>
    </w:pPr>
    <w:rPr>
      <w:rFonts w:ascii="Arial" w:eastAsia="Times New Roman" w:hAnsi="Arial" w:cs="Arial"/>
      <w:b/>
      <w:iCs/>
      <w:color w:val="D2002E" w:themeColor="accent1"/>
      <w:kern w:val="32"/>
      <w:sz w:val="36"/>
      <w:szCs w:val="28"/>
    </w:rPr>
  </w:style>
  <w:style w:type="paragraph" w:styleId="Heading3">
    <w:name w:val="heading 3"/>
    <w:next w:val="Normal"/>
    <w:link w:val="Heading3Char"/>
    <w:autoRedefine/>
    <w:qFormat/>
    <w:rsid w:val="0038453C"/>
    <w:pPr>
      <w:keepNext/>
      <w:spacing w:before="240" w:after="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autoRedefine/>
    <w:uiPriority w:val="9"/>
    <w:unhideWhenUsed/>
    <w:qFormat/>
    <w:rsid w:val="005D6C5D"/>
    <w:pPr>
      <w:keepNext/>
      <w:keepLines/>
      <w:spacing w:before="40"/>
      <w:outlineLvl w:val="3"/>
    </w:pPr>
    <w:rPr>
      <w:rFonts w:eastAsiaTheme="majorEastAsia" w:cstheme="majorBidi"/>
      <w:b/>
      <w:i/>
      <w:iCs/>
      <w:color w:val="9D0021" w:themeColor="accent1" w:themeShade="BF"/>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53C"/>
    <w:rPr>
      <w:rFonts w:ascii="Arial Bold" w:eastAsia="Times New Roman" w:hAnsi="Arial Bold" w:cs="Arial"/>
      <w:b/>
      <w:bCs/>
      <w:color w:val="D2002E" w:themeColor="accent1"/>
      <w:kern w:val="32"/>
      <w:sz w:val="44"/>
      <w:szCs w:val="32"/>
    </w:rPr>
  </w:style>
  <w:style w:type="character" w:customStyle="1" w:styleId="Heading2Char">
    <w:name w:val="Heading 2 Char"/>
    <w:basedOn w:val="DefaultParagraphFont"/>
    <w:link w:val="Heading2"/>
    <w:rsid w:val="0038453C"/>
    <w:rPr>
      <w:rFonts w:ascii="Arial" w:eastAsia="Times New Roman" w:hAnsi="Arial" w:cs="Arial"/>
      <w:b/>
      <w:iCs/>
      <w:color w:val="D2002E" w:themeColor="accent1"/>
      <w:kern w:val="32"/>
      <w:sz w:val="36"/>
      <w:szCs w:val="28"/>
    </w:rPr>
  </w:style>
  <w:style w:type="character" w:customStyle="1" w:styleId="Heading3Char">
    <w:name w:val="Heading 3 Char"/>
    <w:basedOn w:val="DefaultParagraphFont"/>
    <w:link w:val="Heading3"/>
    <w:rsid w:val="0038453C"/>
    <w:rPr>
      <w:rFonts w:ascii="Arial" w:eastAsia="Times New Roman" w:hAnsi="Arial" w:cs="Arial"/>
      <w:b/>
      <w:bCs/>
      <w:sz w:val="28"/>
      <w:szCs w:val="26"/>
    </w:rPr>
  </w:style>
  <w:style w:type="paragraph" w:styleId="Header">
    <w:name w:val="header"/>
    <w:aliases w:val="Rdg Header"/>
    <w:link w:val="HeaderChar"/>
    <w:autoRedefine/>
    <w:rsid w:val="00F83BB9"/>
    <w:pPr>
      <w:tabs>
        <w:tab w:val="right" w:pos="8222"/>
        <w:tab w:val="right" w:pos="9356"/>
      </w:tabs>
      <w:spacing w:before="120" w:after="0" w:line="240" w:lineRule="auto"/>
    </w:pPr>
    <w:rPr>
      <w:rFonts w:ascii="Arial" w:eastAsia="Times New Roman" w:hAnsi="Arial" w:cs="Times New Roman"/>
      <w:b/>
      <w:bCs/>
      <w:sz w:val="20"/>
      <w:szCs w:val="20"/>
    </w:rPr>
  </w:style>
  <w:style w:type="character" w:customStyle="1" w:styleId="HeaderChar">
    <w:name w:val="Header Char"/>
    <w:aliases w:val="Rdg Header Char"/>
    <w:basedOn w:val="DefaultParagraphFont"/>
    <w:link w:val="Header"/>
    <w:rsid w:val="00F83BB9"/>
    <w:rPr>
      <w:rFonts w:ascii="Arial" w:eastAsia="Times New Roman" w:hAnsi="Arial" w:cs="Times New Roman"/>
      <w:b/>
      <w:bCs/>
      <w:sz w:val="20"/>
      <w:szCs w:val="20"/>
    </w:rPr>
  </w:style>
  <w:style w:type="paragraph" w:customStyle="1" w:styleId="UoRTitle">
    <w:name w:val="UoR Title"/>
    <w:next w:val="Normal"/>
    <w:autoRedefine/>
    <w:rsid w:val="0038453C"/>
    <w:pPr>
      <w:overflowPunct w:val="0"/>
      <w:autoSpaceDE w:val="0"/>
      <w:autoSpaceDN w:val="0"/>
      <w:adjustRightInd w:val="0"/>
      <w:snapToGrid w:val="0"/>
      <w:spacing w:before="120" w:after="0" w:line="240" w:lineRule="auto"/>
      <w:textAlignment w:val="baseline"/>
    </w:pPr>
    <w:rPr>
      <w:rFonts w:ascii="Arial Bold" w:eastAsia="Times New Roman" w:hAnsi="Arial Bold" w:cs="Times New Roman"/>
      <w:b/>
      <w:noProof/>
      <w:color w:val="D2002E" w:themeColor="accent1"/>
      <w:sz w:val="76"/>
      <w:szCs w:val="40"/>
    </w:rPr>
  </w:style>
  <w:style w:type="paragraph" w:customStyle="1" w:styleId="UoRSubtitle">
    <w:name w:val="UoR Subtitle"/>
    <w:basedOn w:val="UoRTitle"/>
    <w:autoRedefine/>
    <w:rsid w:val="0038453C"/>
    <w:rPr>
      <w:color w:val="50535A" w:themeColor="text1"/>
      <w:sz w:val="36"/>
    </w:rPr>
  </w:style>
  <w:style w:type="paragraph" w:customStyle="1" w:styleId="UoRContentslist">
    <w:name w:val="UoR Contents list"/>
    <w:autoRedefine/>
    <w:rsid w:val="0038453C"/>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38453C"/>
    <w:pPr>
      <w:spacing w:after="60" w:line="240" w:lineRule="auto"/>
    </w:pPr>
    <w:rPr>
      <w:b/>
      <w:sz w:val="28"/>
    </w:rPr>
  </w:style>
  <w:style w:type="paragraph" w:styleId="ListParagraph">
    <w:name w:val="List Paragraph"/>
    <w:basedOn w:val="Normal"/>
    <w:uiPriority w:val="34"/>
    <w:qFormat/>
    <w:rsid w:val="0038453C"/>
    <w:pPr>
      <w:numPr>
        <w:numId w:val="1"/>
      </w:numPr>
      <w:contextualSpacing/>
    </w:pPr>
  </w:style>
  <w:style w:type="paragraph" w:customStyle="1" w:styleId="UoRUnitname">
    <w:name w:val="UoR Unit name"/>
    <w:autoRedefine/>
    <w:rsid w:val="0038453C"/>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38453C"/>
    <w:pPr>
      <w:spacing w:after="240"/>
    </w:p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38453C"/>
    <w:pPr>
      <w:spacing w:after="0" w:line="276" w:lineRule="auto"/>
      <w:outlineLvl w:val="9"/>
    </w:pPr>
    <w:rPr>
      <w:rFonts w:eastAsiaTheme="majorEastAsia" w:cstheme="majorBidi"/>
      <w:kern w:val="0"/>
      <w:sz w:val="28"/>
      <w:szCs w:val="28"/>
      <w:lang w:eastAsia="ja-JP"/>
    </w:rPr>
  </w:style>
  <w:style w:type="paragraph" w:styleId="TOC3">
    <w:name w:val="toc 3"/>
    <w:basedOn w:val="Normal"/>
    <w:next w:val="Normal"/>
    <w:autoRedefine/>
    <w:uiPriority w:val="39"/>
    <w:unhideWhenUsed/>
    <w:rsid w:val="0038453C"/>
    <w:pPr>
      <w:spacing w:after="100"/>
      <w:ind w:left="440"/>
    </w:pPr>
  </w:style>
  <w:style w:type="paragraph" w:styleId="TOC1">
    <w:name w:val="toc 1"/>
    <w:basedOn w:val="Normal"/>
    <w:next w:val="Normal"/>
    <w:autoRedefine/>
    <w:uiPriority w:val="39"/>
    <w:unhideWhenUsed/>
    <w:rsid w:val="0038453C"/>
    <w:pPr>
      <w:tabs>
        <w:tab w:val="right" w:leader="dot" w:pos="9451"/>
      </w:tabs>
      <w:spacing w:after="100"/>
    </w:pPr>
  </w:style>
  <w:style w:type="paragraph" w:styleId="TOC2">
    <w:name w:val="toc 2"/>
    <w:basedOn w:val="Normal"/>
    <w:next w:val="Normal"/>
    <w:autoRedefine/>
    <w:uiPriority w:val="39"/>
    <w:unhideWhenUsed/>
    <w:rsid w:val="0038453C"/>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3845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453C"/>
    <w:rPr>
      <w:rFonts w:ascii="Arial" w:eastAsia="Times New Roman" w:hAnsi="Arial" w:cs="Times New Roman"/>
      <w:sz w:val="24"/>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5D6C5D"/>
    <w:rPr>
      <w:rFonts w:ascii="Arial" w:eastAsiaTheme="majorEastAsia" w:hAnsi="Arial" w:cstheme="majorBidi"/>
      <w:b/>
      <w:i/>
      <w:iCs/>
      <w:color w:val="9D0021" w:themeColor="accent1" w:themeShade="BF"/>
      <w:sz w:val="20"/>
      <w:lang w:eastAsia="en-GB"/>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character" w:styleId="Strong">
    <w:name w:val="Strong"/>
    <w:basedOn w:val="DefaultParagraphFont"/>
    <w:uiPriority w:val="22"/>
    <w:qFormat/>
    <w:rsid w:val="00BC01DD"/>
    <w:rPr>
      <w:b/>
      <w:bCs/>
    </w:rPr>
  </w:style>
  <w:style w:type="paragraph" w:styleId="Caption">
    <w:name w:val="caption"/>
    <w:basedOn w:val="UoRCaptions"/>
    <w:next w:val="Normal"/>
    <w:uiPriority w:val="35"/>
    <w:unhideWhenUsed/>
    <w:qFormat/>
    <w:rsid w:val="0038453C"/>
  </w:style>
  <w:style w:type="character" w:styleId="CommentReference">
    <w:name w:val="annotation reference"/>
    <w:basedOn w:val="DefaultParagraphFont"/>
    <w:uiPriority w:val="99"/>
    <w:semiHidden/>
    <w:unhideWhenUsed/>
    <w:rsid w:val="00065212"/>
    <w:rPr>
      <w:sz w:val="16"/>
      <w:szCs w:val="16"/>
    </w:rPr>
  </w:style>
  <w:style w:type="paragraph" w:styleId="CommentText">
    <w:name w:val="annotation text"/>
    <w:basedOn w:val="Normal"/>
    <w:link w:val="CommentTextChar"/>
    <w:uiPriority w:val="99"/>
    <w:unhideWhenUsed/>
    <w:rsid w:val="00065212"/>
    <w:pPr>
      <w:spacing w:line="240" w:lineRule="auto"/>
    </w:pPr>
    <w:rPr>
      <w:sz w:val="20"/>
      <w:szCs w:val="20"/>
    </w:rPr>
  </w:style>
  <w:style w:type="character" w:customStyle="1" w:styleId="CommentTextChar">
    <w:name w:val="Comment Text Char"/>
    <w:basedOn w:val="DefaultParagraphFont"/>
    <w:link w:val="CommentText"/>
    <w:uiPriority w:val="99"/>
    <w:rsid w:val="000652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5212"/>
    <w:rPr>
      <w:b/>
      <w:bCs/>
    </w:rPr>
  </w:style>
  <w:style w:type="character" w:customStyle="1" w:styleId="CommentSubjectChar">
    <w:name w:val="Comment Subject Char"/>
    <w:basedOn w:val="CommentTextChar"/>
    <w:link w:val="CommentSubject"/>
    <w:uiPriority w:val="99"/>
    <w:semiHidden/>
    <w:rsid w:val="00065212"/>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065212"/>
    <w:rPr>
      <w:color w:val="2B579A"/>
      <w:shd w:val="clear" w:color="auto" w:fill="E1DFDD"/>
    </w:rPr>
  </w:style>
  <w:style w:type="character" w:styleId="UnresolvedMention">
    <w:name w:val="Unresolved Mention"/>
    <w:basedOn w:val="DefaultParagraphFont"/>
    <w:uiPriority w:val="99"/>
    <w:semiHidden/>
    <w:unhideWhenUsed/>
    <w:rsid w:val="005370D2"/>
    <w:rPr>
      <w:color w:val="605E5C"/>
      <w:shd w:val="clear" w:color="auto" w:fill="E1DFDD"/>
    </w:rPr>
  </w:style>
  <w:style w:type="table" w:styleId="TableGrid">
    <w:name w:val="Table Grid"/>
    <w:basedOn w:val="TableNormal"/>
    <w:uiPriority w:val="39"/>
    <w:rsid w:val="00F40522"/>
    <w:pPr>
      <w:spacing w:after="0" w:line="240" w:lineRule="auto"/>
    </w:pPr>
    <w:tblPr/>
  </w:style>
  <w:style w:type="paragraph" w:styleId="NoSpacing">
    <w:name w:val="No Spacing"/>
    <w:uiPriority w:val="1"/>
    <w:qFormat/>
    <w:rsid w:val="00F40522"/>
    <w:pPr>
      <w:spacing w:after="0" w:line="240" w:lineRule="auto"/>
    </w:pPr>
  </w:style>
  <w:style w:type="character" w:styleId="FollowedHyperlink">
    <w:name w:val="FollowedHyperlink"/>
    <w:basedOn w:val="DefaultParagraphFont"/>
    <w:uiPriority w:val="99"/>
    <w:semiHidden/>
    <w:unhideWhenUsed/>
    <w:rsid w:val="006F75C8"/>
    <w:rPr>
      <w:color w:val="747478" w:themeColor="followedHyperlink"/>
      <w:u w:val="single"/>
    </w:rPr>
  </w:style>
  <w:style w:type="paragraph" w:customStyle="1" w:styleId="paragraph">
    <w:name w:val="paragraph"/>
    <w:basedOn w:val="Normal"/>
    <w:rsid w:val="009A5AC8"/>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9A5AC8"/>
  </w:style>
  <w:style w:type="character" w:customStyle="1" w:styleId="eop">
    <w:name w:val="eop"/>
    <w:basedOn w:val="DefaultParagraphFont"/>
    <w:rsid w:val="009A5AC8"/>
  </w:style>
  <w:style w:type="character" w:customStyle="1" w:styleId="scxw81206757">
    <w:name w:val="scxw81206757"/>
    <w:basedOn w:val="DefaultParagraphFont"/>
    <w:rsid w:val="009A5AC8"/>
  </w:style>
  <w:style w:type="paragraph" w:styleId="Revision">
    <w:name w:val="Revision"/>
    <w:hidden/>
    <w:uiPriority w:val="99"/>
    <w:semiHidden/>
    <w:rsid w:val="000F31E9"/>
    <w:pPr>
      <w:spacing w:after="0" w:line="240" w:lineRule="auto"/>
    </w:pPr>
    <w:rPr>
      <w:rFonts w:ascii="Arial" w:eastAsia="Times New Roman" w:hAnsi="Arial" w:cs="Times New Roman"/>
      <w:sz w:val="24"/>
      <w:lang w:eastAsia="en-GB"/>
    </w:rPr>
  </w:style>
  <w:style w:type="paragraph" w:styleId="Quote">
    <w:name w:val="Quote"/>
    <w:basedOn w:val="Normal"/>
    <w:next w:val="Normal"/>
    <w:link w:val="QuoteChar"/>
    <w:uiPriority w:val="29"/>
    <w:qFormat/>
    <w:rsid w:val="001C6530"/>
    <w:pPr>
      <w:spacing w:before="200" w:after="160"/>
      <w:ind w:left="864" w:right="864"/>
      <w:jc w:val="center"/>
    </w:pPr>
    <w:rPr>
      <w:i/>
      <w:iCs/>
      <w:color w:val="787C87" w:themeColor="text1" w:themeTint="BF"/>
    </w:rPr>
  </w:style>
  <w:style w:type="character" w:customStyle="1" w:styleId="QuoteChar">
    <w:name w:val="Quote Char"/>
    <w:basedOn w:val="DefaultParagraphFont"/>
    <w:link w:val="Quote"/>
    <w:uiPriority w:val="29"/>
    <w:rsid w:val="001C6530"/>
    <w:rPr>
      <w:rFonts w:ascii="Arial" w:eastAsia="Times New Roman" w:hAnsi="Arial" w:cs="Times New Roman"/>
      <w:i/>
      <w:iCs/>
      <w:color w:val="787C87" w:themeColor="text1" w:themeTint="BF"/>
      <w:sz w:val="24"/>
      <w:lang w:eastAsia="en-GB"/>
    </w:rPr>
  </w:style>
  <w:style w:type="paragraph" w:styleId="NormalWeb">
    <w:name w:val="Normal (Web)"/>
    <w:basedOn w:val="Normal"/>
    <w:uiPriority w:val="99"/>
    <w:semiHidden/>
    <w:unhideWhenUsed/>
    <w:rsid w:val="00793935"/>
    <w:rPr>
      <w:rFonts w:ascii="Times New Roman" w:hAnsi="Times New Roman"/>
      <w:szCs w:val="24"/>
    </w:rPr>
  </w:style>
  <w:style w:type="paragraph" w:styleId="FootnoteText">
    <w:name w:val="footnote text"/>
    <w:basedOn w:val="Normal"/>
    <w:link w:val="FootnoteTextChar"/>
    <w:uiPriority w:val="99"/>
    <w:unhideWhenUsed/>
    <w:rsid w:val="00A87BA4"/>
    <w:pPr>
      <w:spacing w:before="0" w:line="240" w:lineRule="auto"/>
    </w:pPr>
    <w:rPr>
      <w:sz w:val="20"/>
      <w:szCs w:val="20"/>
    </w:rPr>
  </w:style>
  <w:style w:type="character" w:customStyle="1" w:styleId="FootnoteTextChar">
    <w:name w:val="Footnote Text Char"/>
    <w:basedOn w:val="DefaultParagraphFont"/>
    <w:link w:val="FootnoteText"/>
    <w:uiPriority w:val="99"/>
    <w:rsid w:val="00A87BA4"/>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A87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949">
      <w:bodyDiv w:val="1"/>
      <w:marLeft w:val="0"/>
      <w:marRight w:val="0"/>
      <w:marTop w:val="0"/>
      <w:marBottom w:val="0"/>
      <w:divBdr>
        <w:top w:val="none" w:sz="0" w:space="0" w:color="auto"/>
        <w:left w:val="none" w:sz="0" w:space="0" w:color="auto"/>
        <w:bottom w:val="none" w:sz="0" w:space="0" w:color="auto"/>
        <w:right w:val="none" w:sz="0" w:space="0" w:color="auto"/>
      </w:divBdr>
    </w:div>
    <w:div w:id="15102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ading.ac.uk/ready-to-study/-/media/discover/files/pdfs/student-access-and-participation/student-financial-support-reflective-report-20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ding.ac.uk/ready-to-study/-/media/discover/files/pdfs/student-access-and-participation/student-financial-support-reflective-report-september-202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7715d5-de9b-4535-86df-8704394bd570">
      <UserInfo>
        <DisplayName>Louise Thomas-Burt</DisplayName>
        <AccountId>20</AccountId>
        <AccountType/>
      </UserInfo>
      <UserInfo>
        <DisplayName>Graham Philpott</DisplayName>
        <AccountId>16</AccountId>
        <AccountType/>
      </UserInfo>
      <UserInfo>
        <DisplayName>Alexandra Baker</DisplayName>
        <AccountId>32</AccountId>
        <AccountType/>
      </UserInfo>
      <UserInfo>
        <DisplayName>Fi Illes</DisplayName>
        <AccountId>38</AccountId>
        <AccountType/>
      </UserInfo>
      <UserInfo>
        <DisplayName>Holly Forsyth</DisplayName>
        <AccountId>51</AccountId>
        <AccountType/>
      </UserInfo>
      <UserInfo>
        <DisplayName>Billah Qureshi</DisplayName>
        <AccountId>17</AccountId>
        <AccountType/>
      </UserInfo>
      <UserInfo>
        <DisplayName>Lydia Fletcher</DisplayName>
        <AccountId>30</AccountId>
        <AccountType/>
      </UserInfo>
      <UserInfo>
        <DisplayName>Amy Fairbrother</DisplayName>
        <AccountId>41</AccountId>
        <AccountType/>
      </UserInfo>
      <UserInfo>
        <DisplayName>Vicki Wiles</DisplayName>
        <AccountId>48</AccountId>
        <AccountType/>
      </UserInfo>
      <UserInfo>
        <DisplayName>Lissy Upton</DisplayName>
        <AccountId>106</AccountId>
        <AccountType/>
      </UserInfo>
    </SharedWithUsers>
    <TaxCatchAll xmlns="fb7715d5-de9b-4535-86df-8704394bd570" xsi:nil="true"/>
    <lcf76f155ced4ddcb4097134ff3c332f xmlns="282a0123-3f51-41cb-aa2d-5b1ec3842b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BE800E0651F2449D1EA329A2E585AB" ma:contentTypeVersion="16" ma:contentTypeDescription="Create a new document." ma:contentTypeScope="" ma:versionID="d07e23abe2100be978081951ac98e2ae">
  <xsd:schema xmlns:xsd="http://www.w3.org/2001/XMLSchema" xmlns:xs="http://www.w3.org/2001/XMLSchema" xmlns:p="http://schemas.microsoft.com/office/2006/metadata/properties" xmlns:ns2="282a0123-3f51-41cb-aa2d-5b1ec3842b14" xmlns:ns3="fb7715d5-de9b-4535-86df-8704394bd570" targetNamespace="http://schemas.microsoft.com/office/2006/metadata/properties" ma:root="true" ma:fieldsID="85e0f3366d052f3dea83ed2fd4c5db3c" ns2:_="" ns3:_="">
    <xsd:import namespace="282a0123-3f51-41cb-aa2d-5b1ec3842b14"/>
    <xsd:import namespace="fb7715d5-de9b-4535-86df-8704394bd5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a0123-3f51-41cb-aa2d-5b1ec3842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7715d5-de9b-4535-86df-8704394bd5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200a8a-0caf-40e5-9035-984055551b64}" ma:internalName="TaxCatchAll" ma:showField="CatchAllData" ma:web="fb7715d5-de9b-4535-86df-8704394bd5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95328-2131-420E-A3D1-8E063FE9343A}">
  <ds:schemaRefs>
    <ds:schemaRef ds:uri="http://schemas.microsoft.com/office/2006/metadata/properties"/>
    <ds:schemaRef ds:uri="http://schemas.microsoft.com/office/infopath/2007/PartnerControls"/>
    <ds:schemaRef ds:uri="fb7715d5-de9b-4535-86df-8704394bd570"/>
    <ds:schemaRef ds:uri="282a0123-3f51-41cb-aa2d-5b1ec3842b14"/>
  </ds:schemaRefs>
</ds:datastoreItem>
</file>

<file path=customXml/itemProps2.xml><?xml version="1.0" encoding="utf-8"?>
<ds:datastoreItem xmlns:ds="http://schemas.openxmlformats.org/officeDocument/2006/customXml" ds:itemID="{97C153B4-061C-4ECB-BC7F-C62A51A6A851}">
  <ds:schemaRefs>
    <ds:schemaRef ds:uri="http://schemas.openxmlformats.org/officeDocument/2006/bibliography"/>
  </ds:schemaRefs>
</ds:datastoreItem>
</file>

<file path=customXml/itemProps3.xml><?xml version="1.0" encoding="utf-8"?>
<ds:datastoreItem xmlns:ds="http://schemas.openxmlformats.org/officeDocument/2006/customXml" ds:itemID="{E1C84AD0-43A3-427B-BFD1-0FA317E71ED2}">
  <ds:schemaRefs>
    <ds:schemaRef ds:uri="http://schemas.microsoft.com/sharepoint/v3/contenttype/forms"/>
  </ds:schemaRefs>
</ds:datastoreItem>
</file>

<file path=customXml/itemProps4.xml><?xml version="1.0" encoding="utf-8"?>
<ds:datastoreItem xmlns:ds="http://schemas.openxmlformats.org/officeDocument/2006/customXml" ds:itemID="{E067D4EE-28E7-429A-BE64-759FB6A65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a0123-3f51-41cb-aa2d-5b1ec3842b14"/>
    <ds:schemaRef ds:uri="fb7715d5-de9b-4535-86df-8704394bd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5976</Words>
  <Characters>34069</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APP Evaluation- Bursaries April 2026</vt:lpstr>
    </vt:vector>
  </TitlesOfParts>
  <Company>University of Reading</Company>
  <LinksUpToDate>false</LinksUpToDate>
  <CharactersWithSpaces>39966</CharactersWithSpaces>
  <SharedDoc>false</SharedDoc>
  <HLinks>
    <vt:vector size="222" baseType="variant">
      <vt:variant>
        <vt:i4>1704017</vt:i4>
      </vt:variant>
      <vt:variant>
        <vt:i4>153</vt:i4>
      </vt:variant>
      <vt:variant>
        <vt:i4>0</vt:i4>
      </vt:variant>
      <vt:variant>
        <vt:i4>5</vt:i4>
      </vt:variant>
      <vt:variant>
        <vt:lpwstr>https://www.reading.ac.uk/digital-accessibility/resources/making-documents-more-accessible</vt:lpwstr>
      </vt:variant>
      <vt:variant>
        <vt:lpwstr>save-as-pdf</vt:lpwstr>
      </vt:variant>
      <vt:variant>
        <vt:i4>5898323</vt:i4>
      </vt:variant>
      <vt:variant>
        <vt:i4>150</vt:i4>
      </vt:variant>
      <vt:variant>
        <vt:i4>0</vt:i4>
      </vt:variant>
      <vt:variant>
        <vt:i4>5</vt:i4>
      </vt:variant>
      <vt:variant>
        <vt:lpwstr>https://www.reading.ac.uk/ready-to-study/study/student-access-participation-plans/evaluation-reports</vt:lpwstr>
      </vt:variant>
      <vt:variant>
        <vt:lpwstr/>
      </vt:variant>
      <vt:variant>
        <vt:i4>5636212</vt:i4>
      </vt:variant>
      <vt:variant>
        <vt:i4>147</vt:i4>
      </vt:variant>
      <vt:variant>
        <vt:i4>0</vt:i4>
      </vt:variant>
      <vt:variant>
        <vt:i4>5</vt:i4>
      </vt:variant>
      <vt:variant>
        <vt:lpwstr>https://livereadingac.sharepoint.com/:w:/s/grp-ie-appevaluation/Ec1cQCshb_pFo2fXtzpow9QBSra1VSvh4jlefp2QvHZxsg?e=s0uTSt</vt:lpwstr>
      </vt:variant>
      <vt:variant>
        <vt:lpwstr/>
      </vt:variant>
      <vt:variant>
        <vt:i4>7667830</vt:i4>
      </vt:variant>
      <vt:variant>
        <vt:i4>144</vt:i4>
      </vt:variant>
      <vt:variant>
        <vt:i4>0</vt:i4>
      </vt:variant>
      <vt:variant>
        <vt:i4>5</vt:i4>
      </vt:variant>
      <vt:variant>
        <vt:lpwstr>https://www.reading.ac.uk/ready-to-study/-/media/discover/files/pdfs/student-access-and-participation/student-financial-support-reflective-report-2023.pdf</vt:lpwstr>
      </vt:variant>
      <vt:variant>
        <vt:lpwstr/>
      </vt:variant>
      <vt:variant>
        <vt:i4>4587520</vt:i4>
      </vt:variant>
      <vt:variant>
        <vt:i4>141</vt:i4>
      </vt:variant>
      <vt:variant>
        <vt:i4>0</vt:i4>
      </vt:variant>
      <vt:variant>
        <vt:i4>5</vt:i4>
      </vt:variant>
      <vt:variant>
        <vt:lpwstr>https://www.reading.ac.uk/ready-to-study/-/media/discover/files/pdfs/student-access-and-participation/student-financial-support-reflective-report-september-2024.pdf</vt:lpwstr>
      </vt:variant>
      <vt:variant>
        <vt:lpwstr/>
      </vt:variant>
      <vt:variant>
        <vt:i4>1310769</vt:i4>
      </vt:variant>
      <vt:variant>
        <vt:i4>134</vt:i4>
      </vt:variant>
      <vt:variant>
        <vt:i4>0</vt:i4>
      </vt:variant>
      <vt:variant>
        <vt:i4>5</vt:i4>
      </vt:variant>
      <vt:variant>
        <vt:lpwstr/>
      </vt:variant>
      <vt:variant>
        <vt:lpwstr>_Toc211435138</vt:lpwstr>
      </vt:variant>
      <vt:variant>
        <vt:i4>1310769</vt:i4>
      </vt:variant>
      <vt:variant>
        <vt:i4>128</vt:i4>
      </vt:variant>
      <vt:variant>
        <vt:i4>0</vt:i4>
      </vt:variant>
      <vt:variant>
        <vt:i4>5</vt:i4>
      </vt:variant>
      <vt:variant>
        <vt:lpwstr/>
      </vt:variant>
      <vt:variant>
        <vt:lpwstr>_Toc211435137</vt:lpwstr>
      </vt:variant>
      <vt:variant>
        <vt:i4>1310769</vt:i4>
      </vt:variant>
      <vt:variant>
        <vt:i4>122</vt:i4>
      </vt:variant>
      <vt:variant>
        <vt:i4>0</vt:i4>
      </vt:variant>
      <vt:variant>
        <vt:i4>5</vt:i4>
      </vt:variant>
      <vt:variant>
        <vt:lpwstr/>
      </vt:variant>
      <vt:variant>
        <vt:lpwstr>_Toc211435136</vt:lpwstr>
      </vt:variant>
      <vt:variant>
        <vt:i4>1310769</vt:i4>
      </vt:variant>
      <vt:variant>
        <vt:i4>116</vt:i4>
      </vt:variant>
      <vt:variant>
        <vt:i4>0</vt:i4>
      </vt:variant>
      <vt:variant>
        <vt:i4>5</vt:i4>
      </vt:variant>
      <vt:variant>
        <vt:lpwstr/>
      </vt:variant>
      <vt:variant>
        <vt:lpwstr>_Toc211435135</vt:lpwstr>
      </vt:variant>
      <vt:variant>
        <vt:i4>1310769</vt:i4>
      </vt:variant>
      <vt:variant>
        <vt:i4>110</vt:i4>
      </vt:variant>
      <vt:variant>
        <vt:i4>0</vt:i4>
      </vt:variant>
      <vt:variant>
        <vt:i4>5</vt:i4>
      </vt:variant>
      <vt:variant>
        <vt:lpwstr/>
      </vt:variant>
      <vt:variant>
        <vt:lpwstr>_Toc211435134</vt:lpwstr>
      </vt:variant>
      <vt:variant>
        <vt:i4>1310769</vt:i4>
      </vt:variant>
      <vt:variant>
        <vt:i4>104</vt:i4>
      </vt:variant>
      <vt:variant>
        <vt:i4>0</vt:i4>
      </vt:variant>
      <vt:variant>
        <vt:i4>5</vt:i4>
      </vt:variant>
      <vt:variant>
        <vt:lpwstr/>
      </vt:variant>
      <vt:variant>
        <vt:lpwstr>_Toc211435133</vt:lpwstr>
      </vt:variant>
      <vt:variant>
        <vt:i4>1310769</vt:i4>
      </vt:variant>
      <vt:variant>
        <vt:i4>98</vt:i4>
      </vt:variant>
      <vt:variant>
        <vt:i4>0</vt:i4>
      </vt:variant>
      <vt:variant>
        <vt:i4>5</vt:i4>
      </vt:variant>
      <vt:variant>
        <vt:lpwstr/>
      </vt:variant>
      <vt:variant>
        <vt:lpwstr>_Toc211435132</vt:lpwstr>
      </vt:variant>
      <vt:variant>
        <vt:i4>1310769</vt:i4>
      </vt:variant>
      <vt:variant>
        <vt:i4>92</vt:i4>
      </vt:variant>
      <vt:variant>
        <vt:i4>0</vt:i4>
      </vt:variant>
      <vt:variant>
        <vt:i4>5</vt:i4>
      </vt:variant>
      <vt:variant>
        <vt:lpwstr/>
      </vt:variant>
      <vt:variant>
        <vt:lpwstr>_Toc211435131</vt:lpwstr>
      </vt:variant>
      <vt:variant>
        <vt:i4>1310769</vt:i4>
      </vt:variant>
      <vt:variant>
        <vt:i4>86</vt:i4>
      </vt:variant>
      <vt:variant>
        <vt:i4>0</vt:i4>
      </vt:variant>
      <vt:variant>
        <vt:i4>5</vt:i4>
      </vt:variant>
      <vt:variant>
        <vt:lpwstr/>
      </vt:variant>
      <vt:variant>
        <vt:lpwstr>_Toc211435130</vt:lpwstr>
      </vt:variant>
      <vt:variant>
        <vt:i4>1376305</vt:i4>
      </vt:variant>
      <vt:variant>
        <vt:i4>80</vt:i4>
      </vt:variant>
      <vt:variant>
        <vt:i4>0</vt:i4>
      </vt:variant>
      <vt:variant>
        <vt:i4>5</vt:i4>
      </vt:variant>
      <vt:variant>
        <vt:lpwstr/>
      </vt:variant>
      <vt:variant>
        <vt:lpwstr>_Toc211435129</vt:lpwstr>
      </vt:variant>
      <vt:variant>
        <vt:i4>1376305</vt:i4>
      </vt:variant>
      <vt:variant>
        <vt:i4>74</vt:i4>
      </vt:variant>
      <vt:variant>
        <vt:i4>0</vt:i4>
      </vt:variant>
      <vt:variant>
        <vt:i4>5</vt:i4>
      </vt:variant>
      <vt:variant>
        <vt:lpwstr/>
      </vt:variant>
      <vt:variant>
        <vt:lpwstr>_Toc211435128</vt:lpwstr>
      </vt:variant>
      <vt:variant>
        <vt:i4>1376305</vt:i4>
      </vt:variant>
      <vt:variant>
        <vt:i4>68</vt:i4>
      </vt:variant>
      <vt:variant>
        <vt:i4>0</vt:i4>
      </vt:variant>
      <vt:variant>
        <vt:i4>5</vt:i4>
      </vt:variant>
      <vt:variant>
        <vt:lpwstr/>
      </vt:variant>
      <vt:variant>
        <vt:lpwstr>_Toc211435127</vt:lpwstr>
      </vt:variant>
      <vt:variant>
        <vt:i4>1376305</vt:i4>
      </vt:variant>
      <vt:variant>
        <vt:i4>62</vt:i4>
      </vt:variant>
      <vt:variant>
        <vt:i4>0</vt:i4>
      </vt:variant>
      <vt:variant>
        <vt:i4>5</vt:i4>
      </vt:variant>
      <vt:variant>
        <vt:lpwstr/>
      </vt:variant>
      <vt:variant>
        <vt:lpwstr>_Toc211435126</vt:lpwstr>
      </vt:variant>
      <vt:variant>
        <vt:i4>1376305</vt:i4>
      </vt:variant>
      <vt:variant>
        <vt:i4>56</vt:i4>
      </vt:variant>
      <vt:variant>
        <vt:i4>0</vt:i4>
      </vt:variant>
      <vt:variant>
        <vt:i4>5</vt:i4>
      </vt:variant>
      <vt:variant>
        <vt:lpwstr/>
      </vt:variant>
      <vt:variant>
        <vt:lpwstr>_Toc211435125</vt:lpwstr>
      </vt:variant>
      <vt:variant>
        <vt:i4>1376305</vt:i4>
      </vt:variant>
      <vt:variant>
        <vt:i4>50</vt:i4>
      </vt:variant>
      <vt:variant>
        <vt:i4>0</vt:i4>
      </vt:variant>
      <vt:variant>
        <vt:i4>5</vt:i4>
      </vt:variant>
      <vt:variant>
        <vt:lpwstr/>
      </vt:variant>
      <vt:variant>
        <vt:lpwstr>_Toc211435124</vt:lpwstr>
      </vt:variant>
      <vt:variant>
        <vt:i4>1376305</vt:i4>
      </vt:variant>
      <vt:variant>
        <vt:i4>44</vt:i4>
      </vt:variant>
      <vt:variant>
        <vt:i4>0</vt:i4>
      </vt:variant>
      <vt:variant>
        <vt:i4>5</vt:i4>
      </vt:variant>
      <vt:variant>
        <vt:lpwstr/>
      </vt:variant>
      <vt:variant>
        <vt:lpwstr>_Toc211435123</vt:lpwstr>
      </vt:variant>
      <vt:variant>
        <vt:i4>1376305</vt:i4>
      </vt:variant>
      <vt:variant>
        <vt:i4>38</vt:i4>
      </vt:variant>
      <vt:variant>
        <vt:i4>0</vt:i4>
      </vt:variant>
      <vt:variant>
        <vt:i4>5</vt:i4>
      </vt:variant>
      <vt:variant>
        <vt:lpwstr/>
      </vt:variant>
      <vt:variant>
        <vt:lpwstr>_Toc211435122</vt:lpwstr>
      </vt:variant>
      <vt:variant>
        <vt:i4>1376305</vt:i4>
      </vt:variant>
      <vt:variant>
        <vt:i4>32</vt:i4>
      </vt:variant>
      <vt:variant>
        <vt:i4>0</vt:i4>
      </vt:variant>
      <vt:variant>
        <vt:i4>5</vt:i4>
      </vt:variant>
      <vt:variant>
        <vt:lpwstr/>
      </vt:variant>
      <vt:variant>
        <vt:lpwstr>_Toc211435121</vt:lpwstr>
      </vt:variant>
      <vt:variant>
        <vt:i4>1376305</vt:i4>
      </vt:variant>
      <vt:variant>
        <vt:i4>26</vt:i4>
      </vt:variant>
      <vt:variant>
        <vt:i4>0</vt:i4>
      </vt:variant>
      <vt:variant>
        <vt:i4>5</vt:i4>
      </vt:variant>
      <vt:variant>
        <vt:lpwstr/>
      </vt:variant>
      <vt:variant>
        <vt:lpwstr>_Toc211435120</vt:lpwstr>
      </vt:variant>
      <vt:variant>
        <vt:i4>1441841</vt:i4>
      </vt:variant>
      <vt:variant>
        <vt:i4>20</vt:i4>
      </vt:variant>
      <vt:variant>
        <vt:i4>0</vt:i4>
      </vt:variant>
      <vt:variant>
        <vt:i4>5</vt:i4>
      </vt:variant>
      <vt:variant>
        <vt:lpwstr/>
      </vt:variant>
      <vt:variant>
        <vt:lpwstr>_Toc211435119</vt:lpwstr>
      </vt:variant>
      <vt:variant>
        <vt:i4>1441841</vt:i4>
      </vt:variant>
      <vt:variant>
        <vt:i4>14</vt:i4>
      </vt:variant>
      <vt:variant>
        <vt:i4>0</vt:i4>
      </vt:variant>
      <vt:variant>
        <vt:i4>5</vt:i4>
      </vt:variant>
      <vt:variant>
        <vt:lpwstr/>
      </vt:variant>
      <vt:variant>
        <vt:lpwstr>_Toc211435118</vt:lpwstr>
      </vt:variant>
      <vt:variant>
        <vt:i4>1441841</vt:i4>
      </vt:variant>
      <vt:variant>
        <vt:i4>8</vt:i4>
      </vt:variant>
      <vt:variant>
        <vt:i4>0</vt:i4>
      </vt:variant>
      <vt:variant>
        <vt:i4>5</vt:i4>
      </vt:variant>
      <vt:variant>
        <vt:lpwstr/>
      </vt:variant>
      <vt:variant>
        <vt:lpwstr>_Toc211435117</vt:lpwstr>
      </vt:variant>
      <vt:variant>
        <vt:i4>1441841</vt:i4>
      </vt:variant>
      <vt:variant>
        <vt:i4>2</vt:i4>
      </vt:variant>
      <vt:variant>
        <vt:i4>0</vt:i4>
      </vt:variant>
      <vt:variant>
        <vt:i4>5</vt:i4>
      </vt:variant>
      <vt:variant>
        <vt:lpwstr/>
      </vt:variant>
      <vt:variant>
        <vt:lpwstr>_Toc211435116</vt:lpwstr>
      </vt:variant>
      <vt:variant>
        <vt:i4>3342408</vt:i4>
      </vt:variant>
      <vt:variant>
        <vt:i4>24</vt:i4>
      </vt:variant>
      <vt:variant>
        <vt:i4>0</vt:i4>
      </vt:variant>
      <vt:variant>
        <vt:i4>5</vt:i4>
      </vt:variant>
      <vt:variant>
        <vt:lpwstr>mailto:yj924820@reading.ac.uk</vt:lpwstr>
      </vt:variant>
      <vt:variant>
        <vt:lpwstr/>
      </vt:variant>
      <vt:variant>
        <vt:i4>3342408</vt:i4>
      </vt:variant>
      <vt:variant>
        <vt:i4>21</vt:i4>
      </vt:variant>
      <vt:variant>
        <vt:i4>0</vt:i4>
      </vt:variant>
      <vt:variant>
        <vt:i4>5</vt:i4>
      </vt:variant>
      <vt:variant>
        <vt:lpwstr>mailto:yj924820@reading.ac.uk</vt:lpwstr>
      </vt:variant>
      <vt:variant>
        <vt:lpwstr/>
      </vt:variant>
      <vt:variant>
        <vt:i4>2818139</vt:i4>
      </vt:variant>
      <vt:variant>
        <vt:i4>18</vt:i4>
      </vt:variant>
      <vt:variant>
        <vt:i4>0</vt:i4>
      </vt:variant>
      <vt:variant>
        <vt:i4>5</vt:i4>
      </vt:variant>
      <vt:variant>
        <vt:lpwstr>mailto:gq927575@reading.ac.uk</vt:lpwstr>
      </vt:variant>
      <vt:variant>
        <vt:lpwstr/>
      </vt:variant>
      <vt:variant>
        <vt:i4>2818139</vt:i4>
      </vt:variant>
      <vt:variant>
        <vt:i4>15</vt:i4>
      </vt:variant>
      <vt:variant>
        <vt:i4>0</vt:i4>
      </vt:variant>
      <vt:variant>
        <vt:i4>5</vt:i4>
      </vt:variant>
      <vt:variant>
        <vt:lpwstr>mailto:gq927575@reading.ac.uk</vt:lpwstr>
      </vt:variant>
      <vt:variant>
        <vt:lpwstr/>
      </vt:variant>
      <vt:variant>
        <vt:i4>3735624</vt:i4>
      </vt:variant>
      <vt:variant>
        <vt:i4>12</vt:i4>
      </vt:variant>
      <vt:variant>
        <vt:i4>0</vt:i4>
      </vt:variant>
      <vt:variant>
        <vt:i4>5</vt:i4>
      </vt:variant>
      <vt:variant>
        <vt:lpwstr>mailto:rf902452@reading.ac.uk</vt:lpwstr>
      </vt:variant>
      <vt:variant>
        <vt:lpwstr/>
      </vt:variant>
      <vt:variant>
        <vt:i4>2818139</vt:i4>
      </vt:variant>
      <vt:variant>
        <vt:i4>9</vt:i4>
      </vt:variant>
      <vt:variant>
        <vt:i4>0</vt:i4>
      </vt:variant>
      <vt:variant>
        <vt:i4>5</vt:i4>
      </vt:variant>
      <vt:variant>
        <vt:lpwstr>mailto:gq927575@reading.ac.uk</vt:lpwstr>
      </vt:variant>
      <vt:variant>
        <vt:lpwstr/>
      </vt:variant>
      <vt:variant>
        <vt:i4>3342408</vt:i4>
      </vt:variant>
      <vt:variant>
        <vt:i4>6</vt:i4>
      </vt:variant>
      <vt:variant>
        <vt:i4>0</vt:i4>
      </vt:variant>
      <vt:variant>
        <vt:i4>5</vt:i4>
      </vt:variant>
      <vt:variant>
        <vt:lpwstr>mailto:yj924820@reading.ac.uk</vt:lpwstr>
      </vt:variant>
      <vt:variant>
        <vt:lpwstr/>
      </vt:variant>
      <vt:variant>
        <vt:i4>7667830</vt:i4>
      </vt:variant>
      <vt:variant>
        <vt:i4>3</vt:i4>
      </vt:variant>
      <vt:variant>
        <vt:i4>0</vt:i4>
      </vt:variant>
      <vt:variant>
        <vt:i4>5</vt:i4>
      </vt:variant>
      <vt:variant>
        <vt:lpwstr>https://www.reading.ac.uk/ready-to-study/-/media/discover/files/pdfs/student-access-and-participation/student-financial-support-reflective-report-2023.pdf</vt:lpwstr>
      </vt:variant>
      <vt:variant>
        <vt:lpwstr/>
      </vt:variant>
      <vt:variant>
        <vt:i4>4587520</vt:i4>
      </vt:variant>
      <vt:variant>
        <vt:i4>0</vt:i4>
      </vt:variant>
      <vt:variant>
        <vt:i4>0</vt:i4>
      </vt:variant>
      <vt:variant>
        <vt:i4>5</vt:i4>
      </vt:variant>
      <vt:variant>
        <vt:lpwstr>https://www.reading.ac.uk/ready-to-study/-/media/discover/files/pdfs/student-access-and-participation/student-financial-support-reflective-report-september-2024.pdf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Evaluation- Bursaries April 2026</dc:title>
  <dc:subject/>
  <dc:creator>Hannah Tollett</dc:creator>
  <cp:keywords/>
  <cp:lastModifiedBy>Lydia Fletcher</cp:lastModifiedBy>
  <cp:revision>2</cp:revision>
  <cp:lastPrinted>2026-04-27T14:56:00Z</cp:lastPrinted>
  <dcterms:created xsi:type="dcterms:W3CDTF">2026-05-14T14:08:00Z</dcterms:created>
  <dcterms:modified xsi:type="dcterms:W3CDTF">2026-05-14T14:08:00Z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0x010100FFBE800E0651F2449D1EA329A2E585AB</vt:lpwstr>
  </property>
  <property fmtid="{D5CDD505-2E9C-101B-9397-08002B2CF9AE}" pid="3" name="Order">
    <vt:r8>56300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MarkAsFinal">
    <vt:bool>true</vt:bool>
  </property>
</Properties>
</file>