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A5911" w14:textId="384742FA" w:rsidR="69F3B173" w:rsidRPr="00FC1AFA" w:rsidRDefault="0EDECFA7" w:rsidP="623BEF96">
      <w:pPr>
        <w:pStyle w:val="UoRTitle"/>
        <w:rPr>
          <w:szCs w:val="76"/>
        </w:rPr>
      </w:pPr>
      <w:r w:rsidRPr="00FC1AFA">
        <w:rPr>
          <w:szCs w:val="76"/>
        </w:rPr>
        <w:t>Access Reading</w:t>
      </w:r>
    </w:p>
    <w:p w14:paraId="473B8844" w14:textId="77777777" w:rsidR="00DD54FD" w:rsidRPr="00DD54FD" w:rsidRDefault="00DD54FD" w:rsidP="00DD54FD">
      <w:pPr>
        <w:pStyle w:val="UoRSubtitle"/>
      </w:pPr>
      <w:r w:rsidRPr="00DD54FD">
        <w:t>2024/25 Evaluation Report</w:t>
      </w:r>
    </w:p>
    <w:p w14:paraId="29B34B40" w14:textId="1119E390" w:rsidR="00DD54FD" w:rsidRPr="00DD54FD" w:rsidRDefault="0EDECFA7" w:rsidP="00DD54FD">
      <w:pPr>
        <w:pStyle w:val="UoRSubtitle"/>
        <w:rPr>
          <w:sz w:val="24"/>
          <w:szCs w:val="24"/>
        </w:rPr>
      </w:pPr>
      <w:r w:rsidRPr="00DD54FD">
        <w:rPr>
          <w:sz w:val="24"/>
          <w:szCs w:val="24"/>
        </w:rPr>
        <w:t>Harvey Owen</w:t>
      </w:r>
      <w:r w:rsidR="00525127" w:rsidRPr="00DD54FD">
        <w:rPr>
          <w:sz w:val="24"/>
          <w:szCs w:val="24"/>
        </w:rPr>
        <w:t xml:space="preserve"> &amp; Lucy Alderman</w:t>
      </w:r>
      <w:r w:rsidRPr="00DD54FD">
        <w:rPr>
          <w:sz w:val="24"/>
          <w:szCs w:val="24"/>
        </w:rPr>
        <w:t xml:space="preserve">, </w:t>
      </w:r>
      <w:r w:rsidR="001C3B24" w:rsidRPr="001C3B24">
        <w:rPr>
          <w:sz w:val="24"/>
          <w:szCs w:val="24"/>
        </w:rPr>
        <w:t>UK Student Recruitment and Outreach</w:t>
      </w:r>
    </w:p>
    <w:p w14:paraId="0C9D8C06" w14:textId="09D542B2" w:rsidR="0EDECFA7" w:rsidRPr="00DD54FD" w:rsidRDefault="00176CC6" w:rsidP="00DD54FD">
      <w:pPr>
        <w:pStyle w:val="UoRSubtitle"/>
        <w:rPr>
          <w:sz w:val="24"/>
          <w:szCs w:val="24"/>
        </w:rPr>
      </w:pPr>
      <w:r>
        <w:rPr>
          <w:sz w:val="24"/>
          <w:szCs w:val="24"/>
        </w:rPr>
        <w:t>April</w:t>
      </w:r>
      <w:r w:rsidR="001C3B24">
        <w:rPr>
          <w:sz w:val="24"/>
          <w:szCs w:val="24"/>
        </w:rPr>
        <w:t xml:space="preserve"> </w:t>
      </w:r>
      <w:r w:rsidR="0EDECFA7" w:rsidRPr="00DD54FD">
        <w:rPr>
          <w:sz w:val="24"/>
          <w:szCs w:val="24"/>
        </w:rPr>
        <w:t>202</w:t>
      </w:r>
      <w:r w:rsidR="001C3B24">
        <w:rPr>
          <w:sz w:val="24"/>
          <w:szCs w:val="24"/>
        </w:rPr>
        <w:t>6</w:t>
      </w:r>
    </w:p>
    <w:sdt>
      <w:sdtPr>
        <w:rPr>
          <w:rFonts w:ascii="Arial" w:eastAsia="Times New Roman" w:hAnsi="Arial" w:cs="Times New Roman"/>
          <w:b w:val="0"/>
          <w:bCs w:val="0"/>
          <w:color w:val="auto"/>
          <w:sz w:val="24"/>
          <w:szCs w:val="22"/>
          <w:lang w:eastAsia="en-GB"/>
        </w:rPr>
        <w:id w:val="1449403062"/>
        <w:docPartObj>
          <w:docPartGallery w:val="Table of Contents"/>
          <w:docPartUnique/>
        </w:docPartObj>
      </w:sdtPr>
      <w:sdtEndPr>
        <w:rPr>
          <w:szCs w:val="24"/>
        </w:rPr>
      </w:sdtEndPr>
      <w:sdtContent>
        <w:p w14:paraId="6BFCC1E8" w14:textId="7B86FCF9" w:rsidR="00FD07F5" w:rsidRDefault="52C8DF00" w:rsidP="000E1558">
          <w:pPr>
            <w:pStyle w:val="TOCHeading"/>
            <w:rPr>
              <w:rFonts w:hint="eastAsia"/>
            </w:rPr>
          </w:pPr>
          <w:r>
            <w:t>Contents</w:t>
          </w:r>
        </w:p>
        <w:p w14:paraId="3D368875" w14:textId="4622B874" w:rsidR="00D20950" w:rsidRDefault="000A3BB7">
          <w:pPr>
            <w:pStyle w:val="TOC1"/>
            <w:rPr>
              <w:rFonts w:asciiTheme="minorHAnsi" w:eastAsiaTheme="minorEastAsia" w:hAnsiTheme="minorHAnsi" w:cstheme="minorBidi" w:hint="eastAsia"/>
              <w:noProof/>
              <w:kern w:val="2"/>
              <w:szCs w:val="24"/>
              <w14:ligatures w14:val="standardContextual"/>
            </w:rPr>
          </w:pPr>
          <w:r>
            <w:fldChar w:fldCharType="begin"/>
          </w:r>
          <w:r w:rsidR="005177F3">
            <w:instrText>TOC \o "1-3" \z \u \h</w:instrText>
          </w:r>
          <w:r>
            <w:fldChar w:fldCharType="separate"/>
          </w:r>
          <w:hyperlink w:anchor="_Toc227058285" w:history="1">
            <w:r w:rsidR="00D20950" w:rsidRPr="00F26461">
              <w:rPr>
                <w:rStyle w:val="Hyperlink"/>
                <w:noProof/>
              </w:rPr>
              <w:t>Executive Summary</w:t>
            </w:r>
            <w:r w:rsidR="00D20950">
              <w:rPr>
                <w:noProof/>
                <w:webHidden/>
              </w:rPr>
              <w:tab/>
            </w:r>
            <w:r w:rsidR="00D20950">
              <w:rPr>
                <w:noProof/>
                <w:webHidden/>
              </w:rPr>
              <w:fldChar w:fldCharType="begin"/>
            </w:r>
            <w:r w:rsidR="00D20950">
              <w:rPr>
                <w:noProof/>
                <w:webHidden/>
              </w:rPr>
              <w:instrText xml:space="preserve"> PAGEREF _Toc227058285 \h </w:instrText>
            </w:r>
            <w:r w:rsidR="00D20950">
              <w:rPr>
                <w:noProof/>
                <w:webHidden/>
              </w:rPr>
            </w:r>
            <w:r w:rsidR="00D20950">
              <w:rPr>
                <w:noProof/>
                <w:webHidden/>
              </w:rPr>
              <w:fldChar w:fldCharType="separate"/>
            </w:r>
            <w:r w:rsidR="00D20950">
              <w:rPr>
                <w:noProof/>
                <w:webHidden/>
              </w:rPr>
              <w:t>2</w:t>
            </w:r>
            <w:r w:rsidR="00D20950">
              <w:rPr>
                <w:noProof/>
                <w:webHidden/>
              </w:rPr>
              <w:fldChar w:fldCharType="end"/>
            </w:r>
          </w:hyperlink>
        </w:p>
        <w:p w14:paraId="701DC266" w14:textId="6B6F53D0" w:rsidR="00D20950" w:rsidRDefault="00D20950">
          <w:pPr>
            <w:pStyle w:val="TOC1"/>
            <w:rPr>
              <w:rFonts w:asciiTheme="minorHAnsi" w:eastAsiaTheme="minorEastAsia" w:hAnsiTheme="minorHAnsi" w:cstheme="minorBidi" w:hint="eastAsia"/>
              <w:noProof/>
              <w:kern w:val="2"/>
              <w:szCs w:val="24"/>
              <w14:ligatures w14:val="standardContextual"/>
            </w:rPr>
          </w:pPr>
          <w:hyperlink w:anchor="_Toc227058286" w:history="1">
            <w:r w:rsidRPr="00F26461">
              <w:rPr>
                <w:rStyle w:val="Hyperlink"/>
                <w:noProof/>
              </w:rPr>
              <w:t>Introduction</w:t>
            </w:r>
            <w:r>
              <w:rPr>
                <w:noProof/>
                <w:webHidden/>
              </w:rPr>
              <w:tab/>
            </w:r>
            <w:r>
              <w:rPr>
                <w:noProof/>
                <w:webHidden/>
              </w:rPr>
              <w:fldChar w:fldCharType="begin"/>
            </w:r>
            <w:r>
              <w:rPr>
                <w:noProof/>
                <w:webHidden/>
              </w:rPr>
              <w:instrText xml:space="preserve"> PAGEREF _Toc227058286 \h </w:instrText>
            </w:r>
            <w:r>
              <w:rPr>
                <w:noProof/>
                <w:webHidden/>
              </w:rPr>
            </w:r>
            <w:r>
              <w:rPr>
                <w:noProof/>
                <w:webHidden/>
              </w:rPr>
              <w:fldChar w:fldCharType="separate"/>
            </w:r>
            <w:r>
              <w:rPr>
                <w:noProof/>
                <w:webHidden/>
              </w:rPr>
              <w:t>3</w:t>
            </w:r>
            <w:r>
              <w:rPr>
                <w:noProof/>
                <w:webHidden/>
              </w:rPr>
              <w:fldChar w:fldCharType="end"/>
            </w:r>
          </w:hyperlink>
        </w:p>
        <w:p w14:paraId="40B7B159" w14:textId="7B5633DA" w:rsidR="00D20950" w:rsidRDefault="00D20950">
          <w:pPr>
            <w:pStyle w:val="TOC2"/>
            <w:tabs>
              <w:tab w:val="right" w:leader="dot" w:pos="9458"/>
            </w:tabs>
            <w:rPr>
              <w:rFonts w:asciiTheme="minorHAnsi" w:eastAsiaTheme="minorEastAsia" w:hAnsiTheme="minorHAnsi" w:cstheme="minorBidi" w:hint="eastAsia"/>
              <w:noProof/>
              <w:kern w:val="2"/>
              <w:szCs w:val="24"/>
              <w14:ligatures w14:val="standardContextual"/>
            </w:rPr>
          </w:pPr>
          <w:hyperlink w:anchor="_Toc227058287" w:history="1">
            <w:r w:rsidRPr="00F26461">
              <w:rPr>
                <w:rStyle w:val="Hyperlink"/>
                <w:noProof/>
              </w:rPr>
              <w:t>Rationale</w:t>
            </w:r>
            <w:r>
              <w:rPr>
                <w:noProof/>
                <w:webHidden/>
              </w:rPr>
              <w:tab/>
            </w:r>
            <w:r>
              <w:rPr>
                <w:noProof/>
                <w:webHidden/>
              </w:rPr>
              <w:fldChar w:fldCharType="begin"/>
            </w:r>
            <w:r>
              <w:rPr>
                <w:noProof/>
                <w:webHidden/>
              </w:rPr>
              <w:instrText xml:space="preserve"> PAGEREF _Toc227058287 \h </w:instrText>
            </w:r>
            <w:r>
              <w:rPr>
                <w:noProof/>
                <w:webHidden/>
              </w:rPr>
            </w:r>
            <w:r>
              <w:rPr>
                <w:noProof/>
                <w:webHidden/>
              </w:rPr>
              <w:fldChar w:fldCharType="separate"/>
            </w:r>
            <w:r>
              <w:rPr>
                <w:noProof/>
                <w:webHidden/>
              </w:rPr>
              <w:t>3</w:t>
            </w:r>
            <w:r>
              <w:rPr>
                <w:noProof/>
                <w:webHidden/>
              </w:rPr>
              <w:fldChar w:fldCharType="end"/>
            </w:r>
          </w:hyperlink>
        </w:p>
        <w:p w14:paraId="621B8B8E" w14:textId="462B8A40" w:rsidR="00D20950" w:rsidRDefault="00D20950">
          <w:pPr>
            <w:pStyle w:val="TOC2"/>
            <w:tabs>
              <w:tab w:val="right" w:leader="dot" w:pos="9458"/>
            </w:tabs>
            <w:rPr>
              <w:rFonts w:asciiTheme="minorHAnsi" w:eastAsiaTheme="minorEastAsia" w:hAnsiTheme="minorHAnsi" w:cstheme="minorBidi" w:hint="eastAsia"/>
              <w:noProof/>
              <w:kern w:val="2"/>
              <w:szCs w:val="24"/>
              <w14:ligatures w14:val="standardContextual"/>
            </w:rPr>
          </w:pPr>
          <w:hyperlink w:anchor="_Toc227058288" w:history="1">
            <w:r w:rsidRPr="00F26461">
              <w:rPr>
                <w:rStyle w:val="Hyperlink"/>
                <w:noProof/>
              </w:rPr>
              <w:t>Intervention</w:t>
            </w:r>
            <w:r>
              <w:rPr>
                <w:noProof/>
                <w:webHidden/>
              </w:rPr>
              <w:tab/>
            </w:r>
            <w:r>
              <w:rPr>
                <w:noProof/>
                <w:webHidden/>
              </w:rPr>
              <w:fldChar w:fldCharType="begin"/>
            </w:r>
            <w:r>
              <w:rPr>
                <w:noProof/>
                <w:webHidden/>
              </w:rPr>
              <w:instrText xml:space="preserve"> PAGEREF _Toc227058288 \h </w:instrText>
            </w:r>
            <w:r>
              <w:rPr>
                <w:noProof/>
                <w:webHidden/>
              </w:rPr>
            </w:r>
            <w:r>
              <w:rPr>
                <w:noProof/>
                <w:webHidden/>
              </w:rPr>
              <w:fldChar w:fldCharType="separate"/>
            </w:r>
            <w:r>
              <w:rPr>
                <w:noProof/>
                <w:webHidden/>
              </w:rPr>
              <w:t>4</w:t>
            </w:r>
            <w:r>
              <w:rPr>
                <w:noProof/>
                <w:webHidden/>
              </w:rPr>
              <w:fldChar w:fldCharType="end"/>
            </w:r>
          </w:hyperlink>
        </w:p>
        <w:p w14:paraId="55C5B9D3" w14:textId="7C5630C5" w:rsidR="00D20950" w:rsidRDefault="00D20950">
          <w:pPr>
            <w:pStyle w:val="TOC2"/>
            <w:tabs>
              <w:tab w:val="right" w:leader="dot" w:pos="9458"/>
            </w:tabs>
            <w:rPr>
              <w:rFonts w:asciiTheme="minorHAnsi" w:eastAsiaTheme="minorEastAsia" w:hAnsiTheme="minorHAnsi" w:cstheme="minorBidi" w:hint="eastAsia"/>
              <w:noProof/>
              <w:kern w:val="2"/>
              <w:szCs w:val="24"/>
              <w14:ligatures w14:val="standardContextual"/>
            </w:rPr>
          </w:pPr>
          <w:hyperlink w:anchor="_Toc227058289" w:history="1">
            <w:r w:rsidRPr="00F26461">
              <w:rPr>
                <w:rStyle w:val="Hyperlink"/>
                <w:noProof/>
              </w:rPr>
              <w:t>Context</w:t>
            </w:r>
            <w:r>
              <w:rPr>
                <w:noProof/>
                <w:webHidden/>
              </w:rPr>
              <w:tab/>
            </w:r>
            <w:r>
              <w:rPr>
                <w:noProof/>
                <w:webHidden/>
              </w:rPr>
              <w:fldChar w:fldCharType="begin"/>
            </w:r>
            <w:r>
              <w:rPr>
                <w:noProof/>
                <w:webHidden/>
              </w:rPr>
              <w:instrText xml:space="preserve"> PAGEREF _Toc227058289 \h </w:instrText>
            </w:r>
            <w:r>
              <w:rPr>
                <w:noProof/>
                <w:webHidden/>
              </w:rPr>
            </w:r>
            <w:r>
              <w:rPr>
                <w:noProof/>
                <w:webHidden/>
              </w:rPr>
              <w:fldChar w:fldCharType="separate"/>
            </w:r>
            <w:r>
              <w:rPr>
                <w:noProof/>
                <w:webHidden/>
              </w:rPr>
              <w:t>6</w:t>
            </w:r>
            <w:r>
              <w:rPr>
                <w:noProof/>
                <w:webHidden/>
              </w:rPr>
              <w:fldChar w:fldCharType="end"/>
            </w:r>
          </w:hyperlink>
        </w:p>
        <w:p w14:paraId="1D76BB6E" w14:textId="5B81AC36" w:rsidR="00D20950" w:rsidRDefault="00D20950">
          <w:pPr>
            <w:pStyle w:val="TOC2"/>
            <w:tabs>
              <w:tab w:val="right" w:leader="dot" w:pos="9458"/>
            </w:tabs>
            <w:rPr>
              <w:rFonts w:asciiTheme="minorHAnsi" w:eastAsiaTheme="minorEastAsia" w:hAnsiTheme="minorHAnsi" w:cstheme="minorBidi" w:hint="eastAsia"/>
              <w:noProof/>
              <w:kern w:val="2"/>
              <w:szCs w:val="24"/>
              <w14:ligatures w14:val="standardContextual"/>
            </w:rPr>
          </w:pPr>
          <w:hyperlink w:anchor="_Toc227058290" w:history="1">
            <w:r w:rsidRPr="00F26461">
              <w:rPr>
                <w:rStyle w:val="Hyperlink"/>
                <w:noProof/>
              </w:rPr>
              <w:t>Link to Access &amp; Participation Plan (APP)</w:t>
            </w:r>
            <w:r>
              <w:rPr>
                <w:noProof/>
                <w:webHidden/>
              </w:rPr>
              <w:tab/>
            </w:r>
            <w:r>
              <w:rPr>
                <w:noProof/>
                <w:webHidden/>
              </w:rPr>
              <w:fldChar w:fldCharType="begin"/>
            </w:r>
            <w:r>
              <w:rPr>
                <w:noProof/>
                <w:webHidden/>
              </w:rPr>
              <w:instrText xml:space="preserve"> PAGEREF _Toc227058290 \h </w:instrText>
            </w:r>
            <w:r>
              <w:rPr>
                <w:noProof/>
                <w:webHidden/>
              </w:rPr>
            </w:r>
            <w:r>
              <w:rPr>
                <w:noProof/>
                <w:webHidden/>
              </w:rPr>
              <w:fldChar w:fldCharType="separate"/>
            </w:r>
            <w:r>
              <w:rPr>
                <w:noProof/>
                <w:webHidden/>
              </w:rPr>
              <w:t>6</w:t>
            </w:r>
            <w:r>
              <w:rPr>
                <w:noProof/>
                <w:webHidden/>
              </w:rPr>
              <w:fldChar w:fldCharType="end"/>
            </w:r>
          </w:hyperlink>
        </w:p>
        <w:p w14:paraId="6F013463" w14:textId="7649134D" w:rsidR="00D20950" w:rsidRDefault="00D20950">
          <w:pPr>
            <w:pStyle w:val="TOC2"/>
            <w:tabs>
              <w:tab w:val="right" w:leader="dot" w:pos="9458"/>
            </w:tabs>
            <w:rPr>
              <w:rFonts w:asciiTheme="minorHAnsi" w:eastAsiaTheme="minorEastAsia" w:hAnsiTheme="minorHAnsi" w:cstheme="minorBidi" w:hint="eastAsia"/>
              <w:noProof/>
              <w:kern w:val="2"/>
              <w:szCs w:val="24"/>
              <w14:ligatures w14:val="standardContextual"/>
            </w:rPr>
          </w:pPr>
          <w:hyperlink w:anchor="_Toc227058291" w:history="1">
            <w:r w:rsidRPr="00F26461">
              <w:rPr>
                <w:rStyle w:val="Hyperlink"/>
                <w:noProof/>
              </w:rPr>
              <w:t>Previous evaluation</w:t>
            </w:r>
            <w:r>
              <w:rPr>
                <w:noProof/>
                <w:webHidden/>
              </w:rPr>
              <w:tab/>
            </w:r>
            <w:r>
              <w:rPr>
                <w:noProof/>
                <w:webHidden/>
              </w:rPr>
              <w:fldChar w:fldCharType="begin"/>
            </w:r>
            <w:r>
              <w:rPr>
                <w:noProof/>
                <w:webHidden/>
              </w:rPr>
              <w:instrText xml:space="preserve"> PAGEREF _Toc227058291 \h </w:instrText>
            </w:r>
            <w:r>
              <w:rPr>
                <w:noProof/>
                <w:webHidden/>
              </w:rPr>
            </w:r>
            <w:r>
              <w:rPr>
                <w:noProof/>
                <w:webHidden/>
              </w:rPr>
              <w:fldChar w:fldCharType="separate"/>
            </w:r>
            <w:r>
              <w:rPr>
                <w:noProof/>
                <w:webHidden/>
              </w:rPr>
              <w:t>6</w:t>
            </w:r>
            <w:r>
              <w:rPr>
                <w:noProof/>
                <w:webHidden/>
              </w:rPr>
              <w:fldChar w:fldCharType="end"/>
            </w:r>
          </w:hyperlink>
        </w:p>
        <w:p w14:paraId="1C43BA78" w14:textId="176D76AF" w:rsidR="00D20950" w:rsidRDefault="00D20950">
          <w:pPr>
            <w:pStyle w:val="TOC1"/>
            <w:rPr>
              <w:rFonts w:asciiTheme="minorHAnsi" w:eastAsiaTheme="minorEastAsia" w:hAnsiTheme="minorHAnsi" w:cstheme="minorBidi" w:hint="eastAsia"/>
              <w:noProof/>
              <w:kern w:val="2"/>
              <w:szCs w:val="24"/>
              <w14:ligatures w14:val="standardContextual"/>
            </w:rPr>
          </w:pPr>
          <w:hyperlink w:anchor="_Toc227058292" w:history="1">
            <w:r w:rsidRPr="00F26461">
              <w:rPr>
                <w:rStyle w:val="Hyperlink"/>
                <w:noProof/>
              </w:rPr>
              <w:t>Methodology</w:t>
            </w:r>
            <w:r>
              <w:rPr>
                <w:noProof/>
                <w:webHidden/>
              </w:rPr>
              <w:tab/>
            </w:r>
            <w:r>
              <w:rPr>
                <w:noProof/>
                <w:webHidden/>
              </w:rPr>
              <w:fldChar w:fldCharType="begin"/>
            </w:r>
            <w:r>
              <w:rPr>
                <w:noProof/>
                <w:webHidden/>
              </w:rPr>
              <w:instrText xml:space="preserve"> PAGEREF _Toc227058292 \h </w:instrText>
            </w:r>
            <w:r>
              <w:rPr>
                <w:noProof/>
                <w:webHidden/>
              </w:rPr>
            </w:r>
            <w:r>
              <w:rPr>
                <w:noProof/>
                <w:webHidden/>
              </w:rPr>
              <w:fldChar w:fldCharType="separate"/>
            </w:r>
            <w:r>
              <w:rPr>
                <w:noProof/>
                <w:webHidden/>
              </w:rPr>
              <w:t>7</w:t>
            </w:r>
            <w:r>
              <w:rPr>
                <w:noProof/>
                <w:webHidden/>
              </w:rPr>
              <w:fldChar w:fldCharType="end"/>
            </w:r>
          </w:hyperlink>
        </w:p>
        <w:p w14:paraId="6D5554D9" w14:textId="029DD34A" w:rsidR="00D20950" w:rsidRDefault="00D20950">
          <w:pPr>
            <w:pStyle w:val="TOC2"/>
            <w:tabs>
              <w:tab w:val="right" w:leader="dot" w:pos="9458"/>
            </w:tabs>
            <w:rPr>
              <w:rFonts w:asciiTheme="minorHAnsi" w:eastAsiaTheme="minorEastAsia" w:hAnsiTheme="minorHAnsi" w:cstheme="minorBidi" w:hint="eastAsia"/>
              <w:noProof/>
              <w:kern w:val="2"/>
              <w:szCs w:val="24"/>
              <w14:ligatures w14:val="standardContextual"/>
            </w:rPr>
          </w:pPr>
          <w:hyperlink w:anchor="_Toc227058293" w:history="1">
            <w:r w:rsidRPr="00F26461">
              <w:rPr>
                <w:rStyle w:val="Hyperlink"/>
                <w:noProof/>
              </w:rPr>
              <w:t>Research questions</w:t>
            </w:r>
            <w:r>
              <w:rPr>
                <w:noProof/>
                <w:webHidden/>
              </w:rPr>
              <w:tab/>
            </w:r>
            <w:r>
              <w:rPr>
                <w:noProof/>
                <w:webHidden/>
              </w:rPr>
              <w:fldChar w:fldCharType="begin"/>
            </w:r>
            <w:r>
              <w:rPr>
                <w:noProof/>
                <w:webHidden/>
              </w:rPr>
              <w:instrText xml:space="preserve"> PAGEREF _Toc227058293 \h </w:instrText>
            </w:r>
            <w:r>
              <w:rPr>
                <w:noProof/>
                <w:webHidden/>
              </w:rPr>
            </w:r>
            <w:r>
              <w:rPr>
                <w:noProof/>
                <w:webHidden/>
              </w:rPr>
              <w:fldChar w:fldCharType="separate"/>
            </w:r>
            <w:r>
              <w:rPr>
                <w:noProof/>
                <w:webHidden/>
              </w:rPr>
              <w:t>7</w:t>
            </w:r>
            <w:r>
              <w:rPr>
                <w:noProof/>
                <w:webHidden/>
              </w:rPr>
              <w:fldChar w:fldCharType="end"/>
            </w:r>
          </w:hyperlink>
        </w:p>
        <w:p w14:paraId="7DA4FF11" w14:textId="7A94E648" w:rsidR="00D20950" w:rsidRDefault="00D20950">
          <w:pPr>
            <w:pStyle w:val="TOC2"/>
            <w:tabs>
              <w:tab w:val="right" w:leader="dot" w:pos="9458"/>
            </w:tabs>
            <w:rPr>
              <w:rFonts w:asciiTheme="minorHAnsi" w:eastAsiaTheme="minorEastAsia" w:hAnsiTheme="minorHAnsi" w:cstheme="minorBidi" w:hint="eastAsia"/>
              <w:noProof/>
              <w:kern w:val="2"/>
              <w:szCs w:val="24"/>
              <w14:ligatures w14:val="standardContextual"/>
            </w:rPr>
          </w:pPr>
          <w:hyperlink w:anchor="_Toc227058294" w:history="1">
            <w:r w:rsidRPr="00F26461">
              <w:rPr>
                <w:rStyle w:val="Hyperlink"/>
                <w:noProof/>
              </w:rPr>
              <w:t>Participants</w:t>
            </w:r>
            <w:r>
              <w:rPr>
                <w:noProof/>
                <w:webHidden/>
              </w:rPr>
              <w:tab/>
            </w:r>
            <w:r>
              <w:rPr>
                <w:noProof/>
                <w:webHidden/>
              </w:rPr>
              <w:fldChar w:fldCharType="begin"/>
            </w:r>
            <w:r>
              <w:rPr>
                <w:noProof/>
                <w:webHidden/>
              </w:rPr>
              <w:instrText xml:space="preserve"> PAGEREF _Toc227058294 \h </w:instrText>
            </w:r>
            <w:r>
              <w:rPr>
                <w:noProof/>
                <w:webHidden/>
              </w:rPr>
            </w:r>
            <w:r>
              <w:rPr>
                <w:noProof/>
                <w:webHidden/>
              </w:rPr>
              <w:fldChar w:fldCharType="separate"/>
            </w:r>
            <w:r>
              <w:rPr>
                <w:noProof/>
                <w:webHidden/>
              </w:rPr>
              <w:t>7</w:t>
            </w:r>
            <w:r>
              <w:rPr>
                <w:noProof/>
                <w:webHidden/>
              </w:rPr>
              <w:fldChar w:fldCharType="end"/>
            </w:r>
          </w:hyperlink>
        </w:p>
        <w:p w14:paraId="3DDA214B" w14:textId="41F00D7A" w:rsidR="00D20950" w:rsidRDefault="00D20950">
          <w:pPr>
            <w:pStyle w:val="TOC2"/>
            <w:tabs>
              <w:tab w:val="right" w:leader="dot" w:pos="9458"/>
            </w:tabs>
            <w:rPr>
              <w:rFonts w:asciiTheme="minorHAnsi" w:eastAsiaTheme="minorEastAsia" w:hAnsiTheme="minorHAnsi" w:cstheme="minorBidi" w:hint="eastAsia"/>
              <w:noProof/>
              <w:kern w:val="2"/>
              <w:szCs w:val="24"/>
              <w14:ligatures w14:val="standardContextual"/>
            </w:rPr>
          </w:pPr>
          <w:hyperlink w:anchor="_Toc227058295" w:history="1">
            <w:r w:rsidRPr="00F26461">
              <w:rPr>
                <w:rStyle w:val="Hyperlink"/>
                <w:noProof/>
              </w:rPr>
              <w:t>Data collection</w:t>
            </w:r>
            <w:r>
              <w:rPr>
                <w:noProof/>
                <w:webHidden/>
              </w:rPr>
              <w:tab/>
            </w:r>
            <w:r>
              <w:rPr>
                <w:noProof/>
                <w:webHidden/>
              </w:rPr>
              <w:fldChar w:fldCharType="begin"/>
            </w:r>
            <w:r>
              <w:rPr>
                <w:noProof/>
                <w:webHidden/>
              </w:rPr>
              <w:instrText xml:space="preserve"> PAGEREF _Toc227058295 \h </w:instrText>
            </w:r>
            <w:r>
              <w:rPr>
                <w:noProof/>
                <w:webHidden/>
              </w:rPr>
            </w:r>
            <w:r>
              <w:rPr>
                <w:noProof/>
                <w:webHidden/>
              </w:rPr>
              <w:fldChar w:fldCharType="separate"/>
            </w:r>
            <w:r>
              <w:rPr>
                <w:noProof/>
                <w:webHidden/>
              </w:rPr>
              <w:t>9</w:t>
            </w:r>
            <w:r>
              <w:rPr>
                <w:noProof/>
                <w:webHidden/>
              </w:rPr>
              <w:fldChar w:fldCharType="end"/>
            </w:r>
          </w:hyperlink>
        </w:p>
        <w:p w14:paraId="743C064C" w14:textId="490E0836" w:rsidR="00D20950" w:rsidRDefault="00D20950">
          <w:pPr>
            <w:pStyle w:val="TOC2"/>
            <w:tabs>
              <w:tab w:val="right" w:leader="dot" w:pos="9458"/>
            </w:tabs>
            <w:rPr>
              <w:rFonts w:asciiTheme="minorHAnsi" w:eastAsiaTheme="minorEastAsia" w:hAnsiTheme="minorHAnsi" w:cstheme="minorBidi" w:hint="eastAsia"/>
              <w:noProof/>
              <w:kern w:val="2"/>
              <w:szCs w:val="24"/>
              <w14:ligatures w14:val="standardContextual"/>
            </w:rPr>
          </w:pPr>
          <w:hyperlink w:anchor="_Toc227058296" w:history="1">
            <w:r w:rsidRPr="00F26461">
              <w:rPr>
                <w:rStyle w:val="Hyperlink"/>
                <w:noProof/>
              </w:rPr>
              <w:t>Ethics and Data Security</w:t>
            </w:r>
            <w:r>
              <w:rPr>
                <w:noProof/>
                <w:webHidden/>
              </w:rPr>
              <w:tab/>
            </w:r>
            <w:r>
              <w:rPr>
                <w:noProof/>
                <w:webHidden/>
              </w:rPr>
              <w:fldChar w:fldCharType="begin"/>
            </w:r>
            <w:r>
              <w:rPr>
                <w:noProof/>
                <w:webHidden/>
              </w:rPr>
              <w:instrText xml:space="preserve"> PAGEREF _Toc227058296 \h </w:instrText>
            </w:r>
            <w:r>
              <w:rPr>
                <w:noProof/>
                <w:webHidden/>
              </w:rPr>
            </w:r>
            <w:r>
              <w:rPr>
                <w:noProof/>
                <w:webHidden/>
              </w:rPr>
              <w:fldChar w:fldCharType="separate"/>
            </w:r>
            <w:r>
              <w:rPr>
                <w:noProof/>
                <w:webHidden/>
              </w:rPr>
              <w:t>11</w:t>
            </w:r>
            <w:r>
              <w:rPr>
                <w:noProof/>
                <w:webHidden/>
              </w:rPr>
              <w:fldChar w:fldCharType="end"/>
            </w:r>
          </w:hyperlink>
        </w:p>
        <w:p w14:paraId="3DCA7976" w14:textId="3B24A96E" w:rsidR="00D20950" w:rsidRDefault="00D20950">
          <w:pPr>
            <w:pStyle w:val="TOC2"/>
            <w:tabs>
              <w:tab w:val="right" w:leader="dot" w:pos="9458"/>
            </w:tabs>
            <w:rPr>
              <w:rFonts w:asciiTheme="minorHAnsi" w:eastAsiaTheme="minorEastAsia" w:hAnsiTheme="minorHAnsi" w:cstheme="minorBidi" w:hint="eastAsia"/>
              <w:noProof/>
              <w:kern w:val="2"/>
              <w:szCs w:val="24"/>
              <w14:ligatures w14:val="standardContextual"/>
            </w:rPr>
          </w:pPr>
          <w:hyperlink w:anchor="_Toc227058297" w:history="1">
            <w:r w:rsidRPr="00F26461">
              <w:rPr>
                <w:rStyle w:val="Hyperlink"/>
                <w:noProof/>
              </w:rPr>
              <w:t>Data analysis</w:t>
            </w:r>
            <w:r>
              <w:rPr>
                <w:noProof/>
                <w:webHidden/>
              </w:rPr>
              <w:tab/>
            </w:r>
            <w:r>
              <w:rPr>
                <w:noProof/>
                <w:webHidden/>
              </w:rPr>
              <w:fldChar w:fldCharType="begin"/>
            </w:r>
            <w:r>
              <w:rPr>
                <w:noProof/>
                <w:webHidden/>
              </w:rPr>
              <w:instrText xml:space="preserve"> PAGEREF _Toc227058297 \h </w:instrText>
            </w:r>
            <w:r>
              <w:rPr>
                <w:noProof/>
                <w:webHidden/>
              </w:rPr>
            </w:r>
            <w:r>
              <w:rPr>
                <w:noProof/>
                <w:webHidden/>
              </w:rPr>
              <w:fldChar w:fldCharType="separate"/>
            </w:r>
            <w:r>
              <w:rPr>
                <w:noProof/>
                <w:webHidden/>
              </w:rPr>
              <w:t>11</w:t>
            </w:r>
            <w:r>
              <w:rPr>
                <w:noProof/>
                <w:webHidden/>
              </w:rPr>
              <w:fldChar w:fldCharType="end"/>
            </w:r>
          </w:hyperlink>
        </w:p>
        <w:p w14:paraId="1BA2746B" w14:textId="65D149B9" w:rsidR="00D20950" w:rsidRDefault="00D20950">
          <w:pPr>
            <w:pStyle w:val="TOC2"/>
            <w:tabs>
              <w:tab w:val="right" w:leader="dot" w:pos="9458"/>
            </w:tabs>
            <w:rPr>
              <w:rFonts w:asciiTheme="minorHAnsi" w:eastAsiaTheme="minorEastAsia" w:hAnsiTheme="minorHAnsi" w:cstheme="minorBidi" w:hint="eastAsia"/>
              <w:noProof/>
              <w:kern w:val="2"/>
              <w:szCs w:val="24"/>
              <w14:ligatures w14:val="standardContextual"/>
            </w:rPr>
          </w:pPr>
          <w:hyperlink w:anchor="_Toc227058298" w:history="1">
            <w:r w:rsidRPr="00F26461">
              <w:rPr>
                <w:rStyle w:val="Hyperlink"/>
                <w:noProof/>
              </w:rPr>
              <w:t>Type of evaluation</w:t>
            </w:r>
            <w:r>
              <w:rPr>
                <w:noProof/>
                <w:webHidden/>
              </w:rPr>
              <w:tab/>
            </w:r>
            <w:r>
              <w:rPr>
                <w:noProof/>
                <w:webHidden/>
              </w:rPr>
              <w:fldChar w:fldCharType="begin"/>
            </w:r>
            <w:r>
              <w:rPr>
                <w:noProof/>
                <w:webHidden/>
              </w:rPr>
              <w:instrText xml:space="preserve"> PAGEREF _Toc227058298 \h </w:instrText>
            </w:r>
            <w:r>
              <w:rPr>
                <w:noProof/>
                <w:webHidden/>
              </w:rPr>
            </w:r>
            <w:r>
              <w:rPr>
                <w:noProof/>
                <w:webHidden/>
              </w:rPr>
              <w:fldChar w:fldCharType="separate"/>
            </w:r>
            <w:r>
              <w:rPr>
                <w:noProof/>
                <w:webHidden/>
              </w:rPr>
              <w:t>12</w:t>
            </w:r>
            <w:r>
              <w:rPr>
                <w:noProof/>
                <w:webHidden/>
              </w:rPr>
              <w:fldChar w:fldCharType="end"/>
            </w:r>
          </w:hyperlink>
        </w:p>
        <w:p w14:paraId="4258EA76" w14:textId="6B5F2450" w:rsidR="00D20950" w:rsidRDefault="00D20950">
          <w:pPr>
            <w:pStyle w:val="TOC2"/>
            <w:tabs>
              <w:tab w:val="right" w:leader="dot" w:pos="9458"/>
            </w:tabs>
            <w:rPr>
              <w:rFonts w:asciiTheme="minorHAnsi" w:eastAsiaTheme="minorEastAsia" w:hAnsiTheme="minorHAnsi" w:cstheme="minorBidi" w:hint="eastAsia"/>
              <w:noProof/>
              <w:kern w:val="2"/>
              <w:szCs w:val="24"/>
              <w14:ligatures w14:val="standardContextual"/>
            </w:rPr>
          </w:pPr>
          <w:hyperlink w:anchor="_Toc227058299" w:history="1">
            <w:r w:rsidRPr="00F26461">
              <w:rPr>
                <w:rStyle w:val="Hyperlink"/>
                <w:noProof/>
              </w:rPr>
              <w:t>Limitations</w:t>
            </w:r>
            <w:r>
              <w:rPr>
                <w:noProof/>
                <w:webHidden/>
              </w:rPr>
              <w:tab/>
            </w:r>
            <w:r>
              <w:rPr>
                <w:noProof/>
                <w:webHidden/>
              </w:rPr>
              <w:fldChar w:fldCharType="begin"/>
            </w:r>
            <w:r>
              <w:rPr>
                <w:noProof/>
                <w:webHidden/>
              </w:rPr>
              <w:instrText xml:space="preserve"> PAGEREF _Toc227058299 \h </w:instrText>
            </w:r>
            <w:r>
              <w:rPr>
                <w:noProof/>
                <w:webHidden/>
              </w:rPr>
            </w:r>
            <w:r>
              <w:rPr>
                <w:noProof/>
                <w:webHidden/>
              </w:rPr>
              <w:fldChar w:fldCharType="separate"/>
            </w:r>
            <w:r>
              <w:rPr>
                <w:noProof/>
                <w:webHidden/>
              </w:rPr>
              <w:t>12</w:t>
            </w:r>
            <w:r>
              <w:rPr>
                <w:noProof/>
                <w:webHidden/>
              </w:rPr>
              <w:fldChar w:fldCharType="end"/>
            </w:r>
          </w:hyperlink>
        </w:p>
        <w:p w14:paraId="6827968B" w14:textId="0BCFFFC4" w:rsidR="00D20950" w:rsidRDefault="00D20950">
          <w:pPr>
            <w:pStyle w:val="TOC1"/>
            <w:rPr>
              <w:rFonts w:asciiTheme="minorHAnsi" w:eastAsiaTheme="minorEastAsia" w:hAnsiTheme="minorHAnsi" w:cstheme="minorBidi" w:hint="eastAsia"/>
              <w:noProof/>
              <w:kern w:val="2"/>
              <w:szCs w:val="24"/>
              <w14:ligatures w14:val="standardContextual"/>
            </w:rPr>
          </w:pPr>
          <w:hyperlink w:anchor="_Toc227058300" w:history="1">
            <w:r w:rsidRPr="00F26461">
              <w:rPr>
                <w:rStyle w:val="Hyperlink"/>
                <w:noProof/>
              </w:rPr>
              <w:t>Results</w:t>
            </w:r>
            <w:r>
              <w:rPr>
                <w:noProof/>
                <w:webHidden/>
              </w:rPr>
              <w:tab/>
            </w:r>
            <w:r>
              <w:rPr>
                <w:noProof/>
                <w:webHidden/>
              </w:rPr>
              <w:fldChar w:fldCharType="begin"/>
            </w:r>
            <w:r>
              <w:rPr>
                <w:noProof/>
                <w:webHidden/>
              </w:rPr>
              <w:instrText xml:space="preserve"> PAGEREF _Toc227058300 \h </w:instrText>
            </w:r>
            <w:r>
              <w:rPr>
                <w:noProof/>
                <w:webHidden/>
              </w:rPr>
            </w:r>
            <w:r>
              <w:rPr>
                <w:noProof/>
                <w:webHidden/>
              </w:rPr>
              <w:fldChar w:fldCharType="separate"/>
            </w:r>
            <w:r>
              <w:rPr>
                <w:noProof/>
                <w:webHidden/>
              </w:rPr>
              <w:t>12</w:t>
            </w:r>
            <w:r>
              <w:rPr>
                <w:noProof/>
                <w:webHidden/>
              </w:rPr>
              <w:fldChar w:fldCharType="end"/>
            </w:r>
          </w:hyperlink>
        </w:p>
        <w:p w14:paraId="51C73EFE" w14:textId="5117AA14" w:rsidR="00D20950" w:rsidRDefault="00D20950">
          <w:pPr>
            <w:pStyle w:val="TOC2"/>
            <w:tabs>
              <w:tab w:val="right" w:leader="dot" w:pos="9458"/>
            </w:tabs>
            <w:rPr>
              <w:rFonts w:asciiTheme="minorHAnsi" w:eastAsiaTheme="minorEastAsia" w:hAnsiTheme="minorHAnsi" w:cstheme="minorBidi" w:hint="eastAsia"/>
              <w:noProof/>
              <w:kern w:val="2"/>
              <w:szCs w:val="24"/>
              <w14:ligatures w14:val="standardContextual"/>
            </w:rPr>
          </w:pPr>
          <w:hyperlink w:anchor="_Toc227058301" w:history="1">
            <w:r w:rsidRPr="00F26461">
              <w:rPr>
                <w:rStyle w:val="Hyperlink"/>
                <w:noProof/>
              </w:rPr>
              <w:t>Survey Results</w:t>
            </w:r>
            <w:r>
              <w:rPr>
                <w:noProof/>
                <w:webHidden/>
              </w:rPr>
              <w:tab/>
            </w:r>
            <w:r>
              <w:rPr>
                <w:noProof/>
                <w:webHidden/>
              </w:rPr>
              <w:fldChar w:fldCharType="begin"/>
            </w:r>
            <w:r>
              <w:rPr>
                <w:noProof/>
                <w:webHidden/>
              </w:rPr>
              <w:instrText xml:space="preserve"> PAGEREF _Toc227058301 \h </w:instrText>
            </w:r>
            <w:r>
              <w:rPr>
                <w:noProof/>
                <w:webHidden/>
              </w:rPr>
            </w:r>
            <w:r>
              <w:rPr>
                <w:noProof/>
                <w:webHidden/>
              </w:rPr>
              <w:fldChar w:fldCharType="separate"/>
            </w:r>
            <w:r>
              <w:rPr>
                <w:noProof/>
                <w:webHidden/>
              </w:rPr>
              <w:t>12</w:t>
            </w:r>
            <w:r>
              <w:rPr>
                <w:noProof/>
                <w:webHidden/>
              </w:rPr>
              <w:fldChar w:fldCharType="end"/>
            </w:r>
          </w:hyperlink>
        </w:p>
        <w:p w14:paraId="63C870B6" w14:textId="43811398" w:rsidR="00D20950" w:rsidRDefault="00D20950">
          <w:pPr>
            <w:pStyle w:val="TOC2"/>
            <w:tabs>
              <w:tab w:val="right" w:leader="dot" w:pos="9458"/>
            </w:tabs>
            <w:rPr>
              <w:rFonts w:asciiTheme="minorHAnsi" w:eastAsiaTheme="minorEastAsia" w:hAnsiTheme="minorHAnsi" w:cstheme="minorBidi" w:hint="eastAsia"/>
              <w:noProof/>
              <w:kern w:val="2"/>
              <w:szCs w:val="24"/>
              <w14:ligatures w14:val="standardContextual"/>
            </w:rPr>
          </w:pPr>
          <w:hyperlink w:anchor="_Toc227058302" w:history="1">
            <w:r w:rsidRPr="00F26461">
              <w:rPr>
                <w:rStyle w:val="Hyperlink"/>
                <w:noProof/>
              </w:rPr>
              <w:t>Enrolment Results</w:t>
            </w:r>
            <w:r>
              <w:rPr>
                <w:noProof/>
                <w:webHidden/>
              </w:rPr>
              <w:tab/>
            </w:r>
            <w:r>
              <w:rPr>
                <w:noProof/>
                <w:webHidden/>
              </w:rPr>
              <w:fldChar w:fldCharType="begin"/>
            </w:r>
            <w:r>
              <w:rPr>
                <w:noProof/>
                <w:webHidden/>
              </w:rPr>
              <w:instrText xml:space="preserve"> PAGEREF _Toc227058302 \h </w:instrText>
            </w:r>
            <w:r>
              <w:rPr>
                <w:noProof/>
                <w:webHidden/>
              </w:rPr>
            </w:r>
            <w:r>
              <w:rPr>
                <w:noProof/>
                <w:webHidden/>
              </w:rPr>
              <w:fldChar w:fldCharType="separate"/>
            </w:r>
            <w:r>
              <w:rPr>
                <w:noProof/>
                <w:webHidden/>
              </w:rPr>
              <w:t>16</w:t>
            </w:r>
            <w:r>
              <w:rPr>
                <w:noProof/>
                <w:webHidden/>
              </w:rPr>
              <w:fldChar w:fldCharType="end"/>
            </w:r>
          </w:hyperlink>
        </w:p>
        <w:p w14:paraId="1B98D92D" w14:textId="38AD1FFA" w:rsidR="00D20950" w:rsidRDefault="00D20950">
          <w:pPr>
            <w:pStyle w:val="TOC1"/>
            <w:rPr>
              <w:rFonts w:asciiTheme="minorHAnsi" w:eastAsiaTheme="minorEastAsia" w:hAnsiTheme="minorHAnsi" w:cstheme="minorBidi" w:hint="eastAsia"/>
              <w:noProof/>
              <w:kern w:val="2"/>
              <w:szCs w:val="24"/>
              <w14:ligatures w14:val="standardContextual"/>
            </w:rPr>
          </w:pPr>
          <w:hyperlink w:anchor="_Toc227058303" w:history="1">
            <w:r w:rsidRPr="00F26461">
              <w:rPr>
                <w:rStyle w:val="Hyperlink"/>
                <w:noProof/>
              </w:rPr>
              <w:t>Discussion of results</w:t>
            </w:r>
            <w:r>
              <w:rPr>
                <w:noProof/>
                <w:webHidden/>
              </w:rPr>
              <w:tab/>
            </w:r>
            <w:r>
              <w:rPr>
                <w:noProof/>
                <w:webHidden/>
              </w:rPr>
              <w:fldChar w:fldCharType="begin"/>
            </w:r>
            <w:r>
              <w:rPr>
                <w:noProof/>
                <w:webHidden/>
              </w:rPr>
              <w:instrText xml:space="preserve"> PAGEREF _Toc227058303 \h </w:instrText>
            </w:r>
            <w:r>
              <w:rPr>
                <w:noProof/>
                <w:webHidden/>
              </w:rPr>
            </w:r>
            <w:r>
              <w:rPr>
                <w:noProof/>
                <w:webHidden/>
              </w:rPr>
              <w:fldChar w:fldCharType="separate"/>
            </w:r>
            <w:r>
              <w:rPr>
                <w:noProof/>
                <w:webHidden/>
              </w:rPr>
              <w:t>18</w:t>
            </w:r>
            <w:r>
              <w:rPr>
                <w:noProof/>
                <w:webHidden/>
              </w:rPr>
              <w:fldChar w:fldCharType="end"/>
            </w:r>
          </w:hyperlink>
        </w:p>
        <w:p w14:paraId="51D04BC5" w14:textId="63490125" w:rsidR="00D20950" w:rsidRDefault="00D20950">
          <w:pPr>
            <w:pStyle w:val="TOC1"/>
            <w:rPr>
              <w:rFonts w:asciiTheme="minorHAnsi" w:eastAsiaTheme="minorEastAsia" w:hAnsiTheme="minorHAnsi" w:cstheme="minorBidi" w:hint="eastAsia"/>
              <w:noProof/>
              <w:kern w:val="2"/>
              <w:szCs w:val="24"/>
              <w14:ligatures w14:val="standardContextual"/>
            </w:rPr>
          </w:pPr>
          <w:hyperlink w:anchor="_Toc227058304" w:history="1">
            <w:r w:rsidRPr="00F26461">
              <w:rPr>
                <w:rStyle w:val="Hyperlink"/>
                <w:noProof/>
              </w:rPr>
              <w:t>Conclusions &amp; recommendations</w:t>
            </w:r>
            <w:r>
              <w:rPr>
                <w:noProof/>
                <w:webHidden/>
              </w:rPr>
              <w:tab/>
            </w:r>
            <w:r>
              <w:rPr>
                <w:noProof/>
                <w:webHidden/>
              </w:rPr>
              <w:fldChar w:fldCharType="begin"/>
            </w:r>
            <w:r>
              <w:rPr>
                <w:noProof/>
                <w:webHidden/>
              </w:rPr>
              <w:instrText xml:space="preserve"> PAGEREF _Toc227058304 \h </w:instrText>
            </w:r>
            <w:r>
              <w:rPr>
                <w:noProof/>
                <w:webHidden/>
              </w:rPr>
            </w:r>
            <w:r>
              <w:rPr>
                <w:noProof/>
                <w:webHidden/>
              </w:rPr>
              <w:fldChar w:fldCharType="separate"/>
            </w:r>
            <w:r>
              <w:rPr>
                <w:noProof/>
                <w:webHidden/>
              </w:rPr>
              <w:t>23</w:t>
            </w:r>
            <w:r>
              <w:rPr>
                <w:noProof/>
                <w:webHidden/>
              </w:rPr>
              <w:fldChar w:fldCharType="end"/>
            </w:r>
          </w:hyperlink>
        </w:p>
        <w:p w14:paraId="3EF795CA" w14:textId="47B014DA" w:rsidR="00D20950" w:rsidRDefault="00D20950">
          <w:pPr>
            <w:pStyle w:val="TOC2"/>
            <w:tabs>
              <w:tab w:val="right" w:leader="dot" w:pos="9458"/>
            </w:tabs>
            <w:rPr>
              <w:rFonts w:asciiTheme="minorHAnsi" w:eastAsiaTheme="minorEastAsia" w:hAnsiTheme="minorHAnsi" w:cstheme="minorBidi" w:hint="eastAsia"/>
              <w:noProof/>
              <w:kern w:val="2"/>
              <w:szCs w:val="24"/>
              <w14:ligatures w14:val="standardContextual"/>
            </w:rPr>
          </w:pPr>
          <w:hyperlink w:anchor="_Toc227058305" w:history="1">
            <w:r w:rsidRPr="00F26461">
              <w:rPr>
                <w:rStyle w:val="Hyperlink"/>
                <w:noProof/>
              </w:rPr>
              <w:t>Conclusions</w:t>
            </w:r>
            <w:r>
              <w:rPr>
                <w:noProof/>
                <w:webHidden/>
              </w:rPr>
              <w:tab/>
            </w:r>
            <w:r>
              <w:rPr>
                <w:noProof/>
                <w:webHidden/>
              </w:rPr>
              <w:fldChar w:fldCharType="begin"/>
            </w:r>
            <w:r>
              <w:rPr>
                <w:noProof/>
                <w:webHidden/>
              </w:rPr>
              <w:instrText xml:space="preserve"> PAGEREF _Toc227058305 \h </w:instrText>
            </w:r>
            <w:r>
              <w:rPr>
                <w:noProof/>
                <w:webHidden/>
              </w:rPr>
            </w:r>
            <w:r>
              <w:rPr>
                <w:noProof/>
                <w:webHidden/>
              </w:rPr>
              <w:fldChar w:fldCharType="separate"/>
            </w:r>
            <w:r>
              <w:rPr>
                <w:noProof/>
                <w:webHidden/>
              </w:rPr>
              <w:t>23</w:t>
            </w:r>
            <w:r>
              <w:rPr>
                <w:noProof/>
                <w:webHidden/>
              </w:rPr>
              <w:fldChar w:fldCharType="end"/>
            </w:r>
          </w:hyperlink>
        </w:p>
        <w:p w14:paraId="3B3A3C54" w14:textId="6E0641B6" w:rsidR="00D20950" w:rsidRDefault="00D20950">
          <w:pPr>
            <w:pStyle w:val="TOC2"/>
            <w:tabs>
              <w:tab w:val="right" w:leader="dot" w:pos="9458"/>
            </w:tabs>
            <w:rPr>
              <w:rFonts w:asciiTheme="minorHAnsi" w:eastAsiaTheme="minorEastAsia" w:hAnsiTheme="minorHAnsi" w:cstheme="minorBidi" w:hint="eastAsia"/>
              <w:noProof/>
              <w:kern w:val="2"/>
              <w:szCs w:val="24"/>
              <w14:ligatures w14:val="standardContextual"/>
            </w:rPr>
          </w:pPr>
          <w:hyperlink w:anchor="_Toc227058306" w:history="1">
            <w:r w:rsidRPr="00F26461">
              <w:rPr>
                <w:rStyle w:val="Hyperlink"/>
                <w:noProof/>
              </w:rPr>
              <w:t>Recommendations</w:t>
            </w:r>
            <w:r>
              <w:rPr>
                <w:noProof/>
                <w:webHidden/>
              </w:rPr>
              <w:tab/>
            </w:r>
            <w:r>
              <w:rPr>
                <w:noProof/>
                <w:webHidden/>
              </w:rPr>
              <w:fldChar w:fldCharType="begin"/>
            </w:r>
            <w:r>
              <w:rPr>
                <w:noProof/>
                <w:webHidden/>
              </w:rPr>
              <w:instrText xml:space="preserve"> PAGEREF _Toc227058306 \h </w:instrText>
            </w:r>
            <w:r>
              <w:rPr>
                <w:noProof/>
                <w:webHidden/>
              </w:rPr>
            </w:r>
            <w:r>
              <w:rPr>
                <w:noProof/>
                <w:webHidden/>
              </w:rPr>
              <w:fldChar w:fldCharType="separate"/>
            </w:r>
            <w:r>
              <w:rPr>
                <w:noProof/>
                <w:webHidden/>
              </w:rPr>
              <w:t>24</w:t>
            </w:r>
            <w:r>
              <w:rPr>
                <w:noProof/>
                <w:webHidden/>
              </w:rPr>
              <w:fldChar w:fldCharType="end"/>
            </w:r>
          </w:hyperlink>
        </w:p>
        <w:p w14:paraId="4429231B" w14:textId="72F3534F" w:rsidR="00D20950" w:rsidRDefault="00D20950">
          <w:pPr>
            <w:pStyle w:val="TOC1"/>
            <w:rPr>
              <w:rFonts w:asciiTheme="minorHAnsi" w:eastAsiaTheme="minorEastAsia" w:hAnsiTheme="minorHAnsi" w:cstheme="minorBidi" w:hint="eastAsia"/>
              <w:noProof/>
              <w:kern w:val="2"/>
              <w:szCs w:val="24"/>
              <w14:ligatures w14:val="standardContextual"/>
            </w:rPr>
          </w:pPr>
          <w:hyperlink w:anchor="_Toc227058307" w:history="1">
            <w:r w:rsidRPr="00F26461">
              <w:rPr>
                <w:rStyle w:val="Hyperlink"/>
                <w:noProof/>
              </w:rPr>
              <w:t>References</w:t>
            </w:r>
            <w:r>
              <w:rPr>
                <w:noProof/>
                <w:webHidden/>
              </w:rPr>
              <w:tab/>
            </w:r>
            <w:r>
              <w:rPr>
                <w:noProof/>
                <w:webHidden/>
              </w:rPr>
              <w:fldChar w:fldCharType="begin"/>
            </w:r>
            <w:r>
              <w:rPr>
                <w:noProof/>
                <w:webHidden/>
              </w:rPr>
              <w:instrText xml:space="preserve"> PAGEREF _Toc227058307 \h </w:instrText>
            </w:r>
            <w:r>
              <w:rPr>
                <w:noProof/>
                <w:webHidden/>
              </w:rPr>
            </w:r>
            <w:r>
              <w:rPr>
                <w:noProof/>
                <w:webHidden/>
              </w:rPr>
              <w:fldChar w:fldCharType="separate"/>
            </w:r>
            <w:r>
              <w:rPr>
                <w:noProof/>
                <w:webHidden/>
              </w:rPr>
              <w:t>25</w:t>
            </w:r>
            <w:r>
              <w:rPr>
                <w:noProof/>
                <w:webHidden/>
              </w:rPr>
              <w:fldChar w:fldCharType="end"/>
            </w:r>
          </w:hyperlink>
        </w:p>
        <w:p w14:paraId="79348C4F" w14:textId="743B5069" w:rsidR="00D20950" w:rsidRDefault="00D20950">
          <w:pPr>
            <w:pStyle w:val="TOC1"/>
            <w:rPr>
              <w:rFonts w:asciiTheme="minorHAnsi" w:eastAsiaTheme="minorEastAsia" w:hAnsiTheme="minorHAnsi" w:cstheme="minorBidi" w:hint="eastAsia"/>
              <w:noProof/>
              <w:kern w:val="2"/>
              <w:szCs w:val="24"/>
              <w14:ligatures w14:val="standardContextual"/>
            </w:rPr>
          </w:pPr>
          <w:hyperlink w:anchor="_Toc227058308" w:history="1">
            <w:r w:rsidRPr="00F26461">
              <w:rPr>
                <w:rStyle w:val="Hyperlink"/>
                <w:noProof/>
              </w:rPr>
              <w:t>Notes</w:t>
            </w:r>
            <w:r>
              <w:rPr>
                <w:noProof/>
                <w:webHidden/>
              </w:rPr>
              <w:tab/>
            </w:r>
            <w:r>
              <w:rPr>
                <w:noProof/>
                <w:webHidden/>
              </w:rPr>
              <w:fldChar w:fldCharType="begin"/>
            </w:r>
            <w:r>
              <w:rPr>
                <w:noProof/>
                <w:webHidden/>
              </w:rPr>
              <w:instrText xml:space="preserve"> PAGEREF _Toc227058308 \h </w:instrText>
            </w:r>
            <w:r>
              <w:rPr>
                <w:noProof/>
                <w:webHidden/>
              </w:rPr>
            </w:r>
            <w:r>
              <w:rPr>
                <w:noProof/>
                <w:webHidden/>
              </w:rPr>
              <w:fldChar w:fldCharType="separate"/>
            </w:r>
            <w:r>
              <w:rPr>
                <w:noProof/>
                <w:webHidden/>
              </w:rPr>
              <w:t>25</w:t>
            </w:r>
            <w:r>
              <w:rPr>
                <w:noProof/>
                <w:webHidden/>
              </w:rPr>
              <w:fldChar w:fldCharType="end"/>
            </w:r>
          </w:hyperlink>
        </w:p>
        <w:p w14:paraId="6FF7BA2B" w14:textId="760B78F4" w:rsidR="00D20950" w:rsidRDefault="00D20950">
          <w:pPr>
            <w:pStyle w:val="TOC1"/>
            <w:rPr>
              <w:rFonts w:asciiTheme="minorHAnsi" w:eastAsiaTheme="minorEastAsia" w:hAnsiTheme="minorHAnsi" w:cstheme="minorBidi" w:hint="eastAsia"/>
              <w:noProof/>
              <w:kern w:val="2"/>
              <w:szCs w:val="24"/>
              <w14:ligatures w14:val="standardContextual"/>
            </w:rPr>
          </w:pPr>
          <w:hyperlink w:anchor="_Toc227058309" w:history="1">
            <w:r w:rsidRPr="00F26461">
              <w:rPr>
                <w:rStyle w:val="Hyperlink"/>
                <w:noProof/>
              </w:rPr>
              <w:t>Appendix: Theory of Change for Access Reading</w:t>
            </w:r>
            <w:r>
              <w:rPr>
                <w:noProof/>
                <w:webHidden/>
              </w:rPr>
              <w:tab/>
            </w:r>
            <w:r>
              <w:rPr>
                <w:noProof/>
                <w:webHidden/>
              </w:rPr>
              <w:fldChar w:fldCharType="begin"/>
            </w:r>
            <w:r>
              <w:rPr>
                <w:noProof/>
                <w:webHidden/>
              </w:rPr>
              <w:instrText xml:space="preserve"> PAGEREF _Toc227058309 \h </w:instrText>
            </w:r>
            <w:r>
              <w:rPr>
                <w:noProof/>
                <w:webHidden/>
              </w:rPr>
            </w:r>
            <w:r>
              <w:rPr>
                <w:noProof/>
                <w:webHidden/>
              </w:rPr>
              <w:fldChar w:fldCharType="separate"/>
            </w:r>
            <w:r>
              <w:rPr>
                <w:noProof/>
                <w:webHidden/>
              </w:rPr>
              <w:t>26</w:t>
            </w:r>
            <w:r>
              <w:rPr>
                <w:noProof/>
                <w:webHidden/>
              </w:rPr>
              <w:fldChar w:fldCharType="end"/>
            </w:r>
          </w:hyperlink>
        </w:p>
        <w:p w14:paraId="33ABB5F2" w14:textId="0DADED0C" w:rsidR="000A3BB7" w:rsidRDefault="000A3BB7" w:rsidP="2E32142D">
          <w:pPr>
            <w:pStyle w:val="TOC2"/>
            <w:tabs>
              <w:tab w:val="right" w:leader="dot" w:pos="9450"/>
            </w:tabs>
            <w:rPr>
              <w:rStyle w:val="Hyperlink"/>
              <w:noProof/>
              <w:kern w:val="2"/>
              <w14:ligatures w14:val="standardContextual"/>
            </w:rPr>
          </w:pPr>
          <w:r>
            <w:fldChar w:fldCharType="end"/>
          </w:r>
        </w:p>
      </w:sdtContent>
    </w:sdt>
    <w:p w14:paraId="1D07B930" w14:textId="5D6FE712" w:rsidR="00065212" w:rsidRDefault="00065212" w:rsidP="31FF623E">
      <w:pPr>
        <w:pStyle w:val="TOC2"/>
        <w:tabs>
          <w:tab w:val="right" w:leader="dot" w:pos="9465"/>
        </w:tabs>
        <w:rPr>
          <w:rStyle w:val="Hyperlink"/>
          <w:noProof/>
          <w:kern w:val="2"/>
          <w14:ligatures w14:val="standardContextual"/>
        </w:rPr>
      </w:pPr>
    </w:p>
    <w:p w14:paraId="4D6D85BD" w14:textId="203C917E" w:rsidR="00931BCF" w:rsidRDefault="464B329C" w:rsidP="1C70F202">
      <w:pPr>
        <w:pStyle w:val="Heading1"/>
      </w:pPr>
      <w:bookmarkStart w:id="1" w:name="_Toc227058285"/>
      <w:bookmarkStart w:id="2" w:name="_Toc411949761"/>
      <w:bookmarkStart w:id="3" w:name="_Toc411949762"/>
      <w:r>
        <w:t>Executive Summary</w:t>
      </w:r>
      <w:bookmarkEnd w:id="1"/>
    </w:p>
    <w:p w14:paraId="31A448AA" w14:textId="10A74835" w:rsidR="00931BCF" w:rsidRDefault="00931BCF" w:rsidP="00931BCF">
      <w:pPr>
        <w:rPr>
          <w:b/>
          <w:bCs/>
        </w:rPr>
      </w:pPr>
      <w:r>
        <w:rPr>
          <w:b/>
          <w:bCs/>
        </w:rPr>
        <w:t>The activity</w:t>
      </w:r>
    </w:p>
    <w:p w14:paraId="3B51AD36" w14:textId="052F5B98" w:rsidR="00D03EF6" w:rsidRDefault="0035582D" w:rsidP="00931BCF">
      <w:r w:rsidRPr="0035582D">
        <w:t xml:space="preserve">Access Reading offers applicants to the University of Reading from IMD quintile 1&amp;2 (among other widening participation students) the opportunity for further support through an in-person event and online </w:t>
      </w:r>
      <w:r w:rsidR="00947DBB">
        <w:t>mentoring</w:t>
      </w:r>
      <w:r w:rsidR="005D2673">
        <w:t>. This aimed</w:t>
      </w:r>
      <w:r w:rsidRPr="0035582D">
        <w:t xml:space="preserve"> to </w:t>
      </w:r>
      <w:r w:rsidR="00A85030">
        <w:t>support students in their</w:t>
      </w:r>
      <w:r w:rsidRPr="0035582D">
        <w:t xml:space="preserve"> transition to </w:t>
      </w:r>
      <w:r w:rsidR="005D2673" w:rsidRPr="0035582D">
        <w:t>university</w:t>
      </w:r>
      <w:r w:rsidR="00A85030">
        <w:t xml:space="preserve"> and increase the numbers of students from widening participation groups enrolling at the University of Reading.</w:t>
      </w:r>
    </w:p>
    <w:p w14:paraId="513A48AB" w14:textId="7321A96E" w:rsidR="00931BCF" w:rsidRDefault="00D03EF6" w:rsidP="00931BCF">
      <w:r>
        <w:t>Th</w:t>
      </w:r>
      <w:r w:rsidR="00E05956">
        <w:t>e 2024/25</w:t>
      </w:r>
      <w:r>
        <w:t xml:space="preserve"> iteration of the programme increased </w:t>
      </w:r>
      <w:r w:rsidR="00A85030">
        <w:t>the number of students engaged in the programme</w:t>
      </w:r>
      <w:r w:rsidR="00E20E51">
        <w:t xml:space="preserve"> (217% of previous cohort)</w:t>
      </w:r>
      <w:r w:rsidR="00FB3C63">
        <w:t xml:space="preserve"> and provided students</w:t>
      </w:r>
      <w:r w:rsidR="00D12A26">
        <w:t xml:space="preserve"> with on-demand online support, through utilising a number of student ‘mentors’</w:t>
      </w:r>
      <w:r>
        <w:t xml:space="preserve"> </w:t>
      </w:r>
      <w:r w:rsidR="00D12A26">
        <w:t xml:space="preserve">on the </w:t>
      </w:r>
      <w:proofErr w:type="spellStart"/>
      <w:r w:rsidR="00D12A26">
        <w:t>Unibuddy</w:t>
      </w:r>
      <w:proofErr w:type="spellEnd"/>
      <w:r w:rsidR="00D12A26">
        <w:t xml:space="preserve"> Community platform.</w:t>
      </w:r>
    </w:p>
    <w:p w14:paraId="3B5DA2D8" w14:textId="77777777" w:rsidR="00373D3B" w:rsidRDefault="00373D3B" w:rsidP="00931BCF"/>
    <w:p w14:paraId="4B059D1B" w14:textId="4D798CDE" w:rsidR="00373D3B" w:rsidRDefault="00373D3B" w:rsidP="00931BCF">
      <w:pPr>
        <w:rPr>
          <w:b/>
          <w:bCs/>
        </w:rPr>
      </w:pPr>
      <w:r>
        <w:rPr>
          <w:b/>
          <w:bCs/>
        </w:rPr>
        <w:t>The evaluation</w:t>
      </w:r>
    </w:p>
    <w:p w14:paraId="58CEB731" w14:textId="384E4664" w:rsidR="00373D3B" w:rsidRDefault="00373D3B" w:rsidP="00931BCF">
      <w:r>
        <w:t xml:space="preserve">The evaluation </w:t>
      </w:r>
      <w:r w:rsidR="00CE5349">
        <w:t>methodology</w:t>
      </w:r>
      <w:r>
        <w:t xml:space="preserve"> </w:t>
      </w:r>
      <w:r w:rsidR="00CE5349">
        <w:t>used Type 2 evaluation. Participants completed three surveys throughout the programme (pre-</w:t>
      </w:r>
      <w:r w:rsidR="00D8109F">
        <w:t>programme</w:t>
      </w:r>
      <w:r w:rsidR="00CE5349">
        <w:t xml:space="preserve">, </w:t>
      </w:r>
      <w:r w:rsidR="006F060E">
        <w:t>after the in-person event, at the end of the programme) and we were also able to compare enrolment data of those that attended Access Reading</w:t>
      </w:r>
      <w:r w:rsidR="00A525F0">
        <w:t xml:space="preserve"> against those that were invited and did not attend.</w:t>
      </w:r>
    </w:p>
    <w:p w14:paraId="23E5475B" w14:textId="77777777" w:rsidR="00A525F0" w:rsidRDefault="00A525F0" w:rsidP="00931BCF"/>
    <w:p w14:paraId="49F1D5EC" w14:textId="243DA309" w:rsidR="00A525F0" w:rsidRDefault="00A525F0" w:rsidP="00931BCF">
      <w:pPr>
        <w:rPr>
          <w:b/>
          <w:bCs/>
        </w:rPr>
      </w:pPr>
      <w:r>
        <w:rPr>
          <w:b/>
          <w:bCs/>
        </w:rPr>
        <w:t>Main findings</w:t>
      </w:r>
    </w:p>
    <w:p w14:paraId="65A19F78" w14:textId="77777777" w:rsidR="00A960D6" w:rsidRDefault="00854055" w:rsidP="00854055">
      <w:r>
        <w:t xml:space="preserve">Access Reading </w:t>
      </w:r>
      <w:r w:rsidR="00302CF0">
        <w:t>succeeded in some primary aims around</w:t>
      </w:r>
      <w:r>
        <w:t xml:space="preserve"> </w:t>
      </w:r>
      <w:r w:rsidR="0036392C">
        <w:t>achieving a positive, significant</w:t>
      </w:r>
      <w:r>
        <w:t xml:space="preserve"> impact</w:t>
      </w:r>
      <w:r w:rsidR="0036392C">
        <w:t xml:space="preserve"> on </w:t>
      </w:r>
      <w:r>
        <w:t>participants’ sense of belonging and knowledge of the support available at university</w:t>
      </w:r>
      <w:r w:rsidR="00A960D6">
        <w:t xml:space="preserve"> and this was sustained throughout the intervention</w:t>
      </w:r>
      <w:r>
        <w:t xml:space="preserve">. </w:t>
      </w:r>
    </w:p>
    <w:p w14:paraId="0D4EB08B" w14:textId="10C80CD9" w:rsidR="00854055" w:rsidRDefault="00854055" w:rsidP="00854055">
      <w:r>
        <w:t>The programme also</w:t>
      </w:r>
      <w:r w:rsidR="00A511E3">
        <w:t xml:space="preserve"> had a</w:t>
      </w:r>
      <w:r>
        <w:t xml:space="preserve"> positive</w:t>
      </w:r>
      <w:r w:rsidR="0036392C">
        <w:t>, significant</w:t>
      </w:r>
      <w:r>
        <w:t xml:space="preserve"> impact on participants confidence to cope with learning in higher education, although this was not sustained throughout the programme.</w:t>
      </w:r>
    </w:p>
    <w:p w14:paraId="1ED7817D" w14:textId="7F80F8ED" w:rsidR="00854055" w:rsidRDefault="00854055" w:rsidP="00854055">
      <w:r>
        <w:t xml:space="preserve">Access Reading did not have a significant impact on </w:t>
      </w:r>
      <w:r w:rsidR="00A511E3">
        <w:t>participants’</w:t>
      </w:r>
      <w:r>
        <w:t xml:space="preserve"> knowledge about studying at university or a reduction in concerns about university. </w:t>
      </w:r>
      <w:r w:rsidR="00BB1F9B">
        <w:t>The i</w:t>
      </w:r>
      <w:r>
        <w:t xml:space="preserve">mpacts </w:t>
      </w:r>
      <w:r w:rsidR="00BB1F9B">
        <w:t xml:space="preserve">in these areas </w:t>
      </w:r>
      <w:r>
        <w:t>were positive but not significant.</w:t>
      </w:r>
    </w:p>
    <w:p w14:paraId="2844DAC4" w14:textId="0253EDB0" w:rsidR="00854055" w:rsidRDefault="00550693" w:rsidP="00931BCF">
      <w:r>
        <w:t>Participants in the Access Reading continued the journey from application to enrolment in greater proportions than</w:t>
      </w:r>
      <w:r w:rsidR="00F279F1">
        <w:t xml:space="preserve"> eligible students who did not participate. For all applicants </w:t>
      </w:r>
      <w:r w:rsidR="00F279F1">
        <w:lastRenderedPageBreak/>
        <w:t xml:space="preserve">who were eligible for the programme, </w:t>
      </w:r>
      <w:r w:rsidR="0091351D">
        <w:t>19.54% continued to enrol at the University of Reading, compared with 54.</w:t>
      </w:r>
      <w:r w:rsidR="00705E07">
        <w:t xml:space="preserve">49% for applicants who engaged with the programme and 64.34% for applicants </w:t>
      </w:r>
      <w:r w:rsidR="003056B0">
        <w:t xml:space="preserve">who attended the in-person event. This represented a small increase in conversion rate for in-person participants from </w:t>
      </w:r>
      <w:r w:rsidR="00E845DB">
        <w:t>62% in 2023/24.</w:t>
      </w:r>
    </w:p>
    <w:p w14:paraId="233A8338" w14:textId="77777777" w:rsidR="004F5B0F" w:rsidRDefault="004F5B0F" w:rsidP="00931BCF"/>
    <w:p w14:paraId="1AD2EFBE" w14:textId="1571A235" w:rsidR="00BB1F9B" w:rsidRPr="00BB1F9B" w:rsidRDefault="00BB1F9B" w:rsidP="00931BCF">
      <w:pPr>
        <w:rPr>
          <w:b/>
          <w:bCs/>
        </w:rPr>
      </w:pPr>
      <w:r>
        <w:rPr>
          <w:b/>
          <w:bCs/>
        </w:rPr>
        <w:t>Conclusions &amp; Recommendations</w:t>
      </w:r>
    </w:p>
    <w:p w14:paraId="56581C9E" w14:textId="3DB9F8D6" w:rsidR="00854055" w:rsidRDefault="00B63DF0" w:rsidP="00931BCF">
      <w:r>
        <w:t>Access Reading can be seen as having a successful impact on the participants. As a result, the programme should look to increase the number of participants, both in-person and online.</w:t>
      </w:r>
    </w:p>
    <w:p w14:paraId="7077FC8A" w14:textId="574D9520" w:rsidR="00B63DF0" w:rsidRPr="00A525F0" w:rsidRDefault="00B63DF0" w:rsidP="00931BCF">
      <w:r>
        <w:t xml:space="preserve">In addition, using the data obtained this year, the programme should seek to improve the online provision </w:t>
      </w:r>
      <w:r w:rsidR="005A1F6B">
        <w:t>through adding subject specific elements, mapping more closely to student concerns and seeking ways to boost participant engagement on the platform.</w:t>
      </w:r>
    </w:p>
    <w:p w14:paraId="66D1FEF1" w14:textId="3CE8E387" w:rsidR="0047112C" w:rsidRDefault="41E10B61" w:rsidP="000E1558">
      <w:pPr>
        <w:pStyle w:val="Heading1"/>
      </w:pPr>
      <w:bookmarkStart w:id="4" w:name="_Toc227058286"/>
      <w:r>
        <w:t>Introduction</w:t>
      </w:r>
      <w:bookmarkEnd w:id="4"/>
    </w:p>
    <w:p w14:paraId="44B6AAF3" w14:textId="00618F99" w:rsidR="000648D1" w:rsidRDefault="41E10B61" w:rsidP="00176CC6">
      <w:pPr>
        <w:pStyle w:val="Heading2"/>
      </w:pPr>
      <w:bookmarkStart w:id="5" w:name="_Toc227058287"/>
      <w:bookmarkEnd w:id="2"/>
      <w:bookmarkEnd w:id="3"/>
      <w:r>
        <w:t>R</w:t>
      </w:r>
      <w:r w:rsidR="29F7F4E5">
        <w:t>ationale</w:t>
      </w:r>
      <w:bookmarkStart w:id="6" w:name="_Toc21085139"/>
      <w:bookmarkStart w:id="7" w:name="_Toc411949764"/>
      <w:bookmarkEnd w:id="5"/>
    </w:p>
    <w:p w14:paraId="5B6D1FB4" w14:textId="2C80910E" w:rsidR="00FE509C" w:rsidRDefault="00FE509C" w:rsidP="00FE509C">
      <w:pPr>
        <w:rPr>
          <w:lang w:eastAsia="en-US"/>
        </w:rPr>
      </w:pPr>
      <w:r>
        <w:rPr>
          <w:lang w:eastAsia="en-US"/>
        </w:rPr>
        <w:t xml:space="preserve">Within the University of Reading, students from IMD Q1 &amp; Q2 are significantly underrepresented both against their peers in other quintiles and in comparison, to the HE sector. </w:t>
      </w:r>
      <w:r w:rsidRPr="00DA251B">
        <w:rPr>
          <w:lang w:eastAsia="en-US"/>
        </w:rPr>
        <w:t>There is a 24.1</w:t>
      </w:r>
      <w:r w:rsidR="00FB3DDB" w:rsidRPr="00DA251B">
        <w:rPr>
          <w:lang w:eastAsia="en-US"/>
        </w:rPr>
        <w:t xml:space="preserve"> percentage point</w:t>
      </w:r>
      <w:r w:rsidRPr="00DA251B">
        <w:rPr>
          <w:lang w:eastAsia="en-US"/>
        </w:rPr>
        <w:t xml:space="preserve"> gap between IMDQ1 and IMDQ5 students in terms of entrants (4 year aggregate from University of Reading; </w:t>
      </w:r>
      <w:hyperlink r:id="rId11" w:history="1">
        <w:r w:rsidRPr="004811EB">
          <w:rPr>
            <w:rStyle w:val="Hyperlink"/>
            <w:lang w:eastAsia="en-US"/>
          </w:rPr>
          <w:t>Office for Students dashboard</w:t>
        </w:r>
      </w:hyperlink>
      <w:r w:rsidRPr="00DA251B">
        <w:rPr>
          <w:lang w:eastAsia="en-US"/>
        </w:rPr>
        <w:t>).</w:t>
      </w:r>
      <w:r w:rsidR="003D639C">
        <w:rPr>
          <w:lang w:eastAsia="en-US"/>
        </w:rPr>
        <w:t xml:space="preserve"> </w:t>
      </w:r>
      <w:r>
        <w:rPr>
          <w:lang w:eastAsia="en-US"/>
        </w:rPr>
        <w:t>They apply in disproportionately lower numbers than students in other quintiles, are more likely to apply to Reading without the required pre-attainment (e.g., subject profile or GCSE requirement) and are less likely to choose or enrol at the University of Reading when in receipt of an offer. This can be seen in the table below that shows conversion data at each stage of the application process.</w:t>
      </w:r>
    </w:p>
    <w:p w14:paraId="046612F0" w14:textId="4649C8CF" w:rsidR="00FE509C" w:rsidRDefault="00FE509C" w:rsidP="00FE509C">
      <w:pPr>
        <w:rPr>
          <w:lang w:eastAsia="en-US"/>
        </w:rPr>
      </w:pPr>
      <w:r>
        <w:rPr>
          <w:lang w:eastAsia="en-US"/>
        </w:rPr>
        <w:t>Conversion rates from stage to stage (202</w:t>
      </w:r>
      <w:r w:rsidR="003D639C">
        <w:rPr>
          <w:lang w:eastAsia="en-US"/>
        </w:rPr>
        <w:t>4</w:t>
      </w:r>
      <w:r>
        <w:rPr>
          <w:lang w:eastAsia="en-US"/>
        </w:rPr>
        <w:t xml:space="preserve"> data)</w:t>
      </w:r>
    </w:p>
    <w:tbl>
      <w:tblPr>
        <w:tblStyle w:val="TableGrid"/>
        <w:tblW w:w="0" w:type="auto"/>
        <w:tblLook w:val="04A0" w:firstRow="1" w:lastRow="0" w:firstColumn="1" w:lastColumn="0" w:noHBand="0" w:noVBand="1"/>
      </w:tblPr>
      <w:tblGrid>
        <w:gridCol w:w="1891"/>
        <w:gridCol w:w="1891"/>
        <w:gridCol w:w="1892"/>
        <w:gridCol w:w="1892"/>
        <w:gridCol w:w="1892"/>
      </w:tblGrid>
      <w:tr w:rsidR="00DF69BC" w14:paraId="6842170F" w14:textId="77777777" w:rsidTr="68B2AB36">
        <w:tc>
          <w:tcPr>
            <w:tcW w:w="1891" w:type="dxa"/>
          </w:tcPr>
          <w:p w14:paraId="3669F8FF" w14:textId="343B465E" w:rsidR="00DF69BC" w:rsidRDefault="00DF69BC" w:rsidP="00FE509C">
            <w:pPr>
              <w:rPr>
                <w:lang w:eastAsia="en-US"/>
              </w:rPr>
            </w:pPr>
            <w:r>
              <w:rPr>
                <w:lang w:eastAsia="en-US"/>
              </w:rPr>
              <w:t>Group</w:t>
            </w:r>
          </w:p>
        </w:tc>
        <w:tc>
          <w:tcPr>
            <w:tcW w:w="1891" w:type="dxa"/>
          </w:tcPr>
          <w:p w14:paraId="1A822B7A" w14:textId="1E550509" w:rsidR="00DF69BC" w:rsidRDefault="00DF69BC" w:rsidP="00FE509C">
            <w:pPr>
              <w:rPr>
                <w:lang w:eastAsia="en-US"/>
              </w:rPr>
            </w:pPr>
            <w:r>
              <w:rPr>
                <w:lang w:eastAsia="en-US"/>
              </w:rPr>
              <w:t>Applications to offer</w:t>
            </w:r>
            <w:r w:rsidR="4189F5B0" w:rsidRPr="72DEEDF0">
              <w:rPr>
                <w:lang w:eastAsia="en-US"/>
              </w:rPr>
              <w:t xml:space="preserve"> (%)</w:t>
            </w:r>
          </w:p>
        </w:tc>
        <w:tc>
          <w:tcPr>
            <w:tcW w:w="1892" w:type="dxa"/>
          </w:tcPr>
          <w:p w14:paraId="0ECA9CD3" w14:textId="264572A4" w:rsidR="00DF69BC" w:rsidRDefault="00DF69BC" w:rsidP="00FE509C">
            <w:pPr>
              <w:rPr>
                <w:lang w:eastAsia="en-US"/>
              </w:rPr>
            </w:pPr>
            <w:r>
              <w:rPr>
                <w:lang w:eastAsia="en-US"/>
              </w:rPr>
              <w:t>Offer to firm</w:t>
            </w:r>
            <w:r w:rsidR="76FAF42C" w:rsidRPr="72DEEDF0">
              <w:rPr>
                <w:lang w:eastAsia="en-US"/>
              </w:rPr>
              <w:t xml:space="preserve"> (%)</w:t>
            </w:r>
          </w:p>
        </w:tc>
        <w:tc>
          <w:tcPr>
            <w:tcW w:w="1892" w:type="dxa"/>
          </w:tcPr>
          <w:p w14:paraId="0DEEF24B" w14:textId="6411E06D" w:rsidR="00DF69BC" w:rsidRDefault="00DF69BC" w:rsidP="00FE509C">
            <w:pPr>
              <w:rPr>
                <w:lang w:eastAsia="en-US"/>
              </w:rPr>
            </w:pPr>
            <w:r>
              <w:rPr>
                <w:lang w:eastAsia="en-US"/>
              </w:rPr>
              <w:t>Firm to enrol</w:t>
            </w:r>
            <w:r w:rsidR="7DC477DF" w:rsidRPr="72DEEDF0">
              <w:rPr>
                <w:lang w:eastAsia="en-US"/>
              </w:rPr>
              <w:t xml:space="preserve"> (%)</w:t>
            </w:r>
          </w:p>
        </w:tc>
        <w:tc>
          <w:tcPr>
            <w:tcW w:w="1892" w:type="dxa"/>
          </w:tcPr>
          <w:p w14:paraId="22D1DE19" w14:textId="00122531" w:rsidR="00DF69BC" w:rsidRDefault="00DF69BC" w:rsidP="00FE509C">
            <w:pPr>
              <w:rPr>
                <w:lang w:eastAsia="en-US"/>
              </w:rPr>
            </w:pPr>
            <w:r>
              <w:rPr>
                <w:lang w:eastAsia="en-US"/>
              </w:rPr>
              <w:t>Overall applications to enrols</w:t>
            </w:r>
            <w:r w:rsidR="76D54241" w:rsidRPr="72DEEDF0">
              <w:rPr>
                <w:lang w:eastAsia="en-US"/>
              </w:rPr>
              <w:t xml:space="preserve"> (%)</w:t>
            </w:r>
          </w:p>
        </w:tc>
      </w:tr>
      <w:tr w:rsidR="00DF69BC" w14:paraId="26E79B20" w14:textId="77777777" w:rsidTr="68B2AB36">
        <w:tc>
          <w:tcPr>
            <w:tcW w:w="1891" w:type="dxa"/>
          </w:tcPr>
          <w:p w14:paraId="4A7B7A35" w14:textId="5DA4E4D0" w:rsidR="00DF69BC" w:rsidRDefault="00DF69BC" w:rsidP="00FE509C">
            <w:pPr>
              <w:rPr>
                <w:lang w:eastAsia="en-US"/>
              </w:rPr>
            </w:pPr>
            <w:r>
              <w:rPr>
                <w:lang w:eastAsia="en-US"/>
              </w:rPr>
              <w:t>IMD Q1</w:t>
            </w:r>
          </w:p>
        </w:tc>
        <w:tc>
          <w:tcPr>
            <w:tcW w:w="1891" w:type="dxa"/>
          </w:tcPr>
          <w:p w14:paraId="7E0C2256" w14:textId="231B95D9" w:rsidR="00DF69BC" w:rsidRDefault="0AA2E4D9" w:rsidP="00FE509C">
            <w:pPr>
              <w:rPr>
                <w:lang w:eastAsia="en-US"/>
              </w:rPr>
            </w:pPr>
            <w:r w:rsidRPr="72DEEDF0">
              <w:rPr>
                <w:lang w:eastAsia="en-US"/>
              </w:rPr>
              <w:t>8</w:t>
            </w:r>
            <w:r w:rsidR="360EC6B7" w:rsidRPr="72DEEDF0">
              <w:rPr>
                <w:lang w:eastAsia="en-US"/>
              </w:rPr>
              <w:t>3</w:t>
            </w:r>
          </w:p>
        </w:tc>
        <w:tc>
          <w:tcPr>
            <w:tcW w:w="1892" w:type="dxa"/>
          </w:tcPr>
          <w:p w14:paraId="328E2A57" w14:textId="6E7CA856" w:rsidR="00DF69BC" w:rsidRDefault="0AA2E4D9" w:rsidP="00FE509C">
            <w:pPr>
              <w:rPr>
                <w:lang w:eastAsia="en-US"/>
              </w:rPr>
            </w:pPr>
            <w:r w:rsidRPr="72DEEDF0">
              <w:rPr>
                <w:lang w:eastAsia="en-US"/>
              </w:rPr>
              <w:t>2</w:t>
            </w:r>
            <w:r w:rsidR="41C55B5D" w:rsidRPr="72DEEDF0">
              <w:rPr>
                <w:lang w:eastAsia="en-US"/>
              </w:rPr>
              <w:t>2</w:t>
            </w:r>
          </w:p>
        </w:tc>
        <w:tc>
          <w:tcPr>
            <w:tcW w:w="1892" w:type="dxa"/>
          </w:tcPr>
          <w:p w14:paraId="12FB1111" w14:textId="7194BBD2" w:rsidR="00DF69BC" w:rsidRDefault="41C55B5D" w:rsidP="00FE509C">
            <w:pPr>
              <w:rPr>
                <w:lang w:eastAsia="en-US"/>
              </w:rPr>
            </w:pPr>
            <w:r w:rsidRPr="72DEEDF0">
              <w:rPr>
                <w:lang w:eastAsia="en-US"/>
              </w:rPr>
              <w:t>56</w:t>
            </w:r>
          </w:p>
        </w:tc>
        <w:tc>
          <w:tcPr>
            <w:tcW w:w="1892" w:type="dxa"/>
          </w:tcPr>
          <w:p w14:paraId="44CA7B43" w14:textId="015371EA" w:rsidR="00DF69BC" w:rsidRDefault="0AA2E4D9" w:rsidP="00FE509C">
            <w:pPr>
              <w:rPr>
                <w:lang w:eastAsia="en-US"/>
              </w:rPr>
            </w:pPr>
            <w:r w:rsidRPr="72DEEDF0">
              <w:rPr>
                <w:lang w:eastAsia="en-US"/>
              </w:rPr>
              <w:t>1</w:t>
            </w:r>
            <w:r w:rsidR="3E7F3023" w:rsidRPr="72DEEDF0">
              <w:rPr>
                <w:lang w:eastAsia="en-US"/>
              </w:rPr>
              <w:t>0</w:t>
            </w:r>
          </w:p>
        </w:tc>
      </w:tr>
      <w:tr w:rsidR="00DF69BC" w14:paraId="3583581C" w14:textId="77777777" w:rsidTr="68B2AB36">
        <w:tc>
          <w:tcPr>
            <w:tcW w:w="1891" w:type="dxa"/>
          </w:tcPr>
          <w:p w14:paraId="1E36CFAD" w14:textId="666E177D" w:rsidR="00DF69BC" w:rsidRDefault="00DF69BC" w:rsidP="00FE509C">
            <w:pPr>
              <w:rPr>
                <w:lang w:eastAsia="en-US"/>
              </w:rPr>
            </w:pPr>
            <w:r w:rsidRPr="68B2AB36">
              <w:rPr>
                <w:lang w:eastAsia="en-US"/>
              </w:rPr>
              <w:t>IMD Q5</w:t>
            </w:r>
          </w:p>
        </w:tc>
        <w:tc>
          <w:tcPr>
            <w:tcW w:w="1891" w:type="dxa"/>
          </w:tcPr>
          <w:p w14:paraId="37C9EA67" w14:textId="42E22B7A" w:rsidR="00DF69BC" w:rsidRDefault="5AF46E0E" w:rsidP="00FE509C">
            <w:pPr>
              <w:rPr>
                <w:lang w:eastAsia="en-US"/>
              </w:rPr>
            </w:pPr>
            <w:r w:rsidRPr="72DEEDF0">
              <w:rPr>
                <w:lang w:eastAsia="en-US"/>
              </w:rPr>
              <w:t>9</w:t>
            </w:r>
            <w:r w:rsidR="4A342622" w:rsidRPr="72DEEDF0">
              <w:rPr>
                <w:lang w:eastAsia="en-US"/>
              </w:rPr>
              <w:t>2</w:t>
            </w:r>
          </w:p>
        </w:tc>
        <w:tc>
          <w:tcPr>
            <w:tcW w:w="1892" w:type="dxa"/>
          </w:tcPr>
          <w:p w14:paraId="583240FE" w14:textId="5FAE3D2B" w:rsidR="00DF69BC" w:rsidRDefault="5AF46E0E" w:rsidP="00FE509C">
            <w:pPr>
              <w:rPr>
                <w:lang w:eastAsia="en-US"/>
              </w:rPr>
            </w:pPr>
            <w:r w:rsidRPr="72DEEDF0">
              <w:rPr>
                <w:lang w:eastAsia="en-US"/>
              </w:rPr>
              <w:t>25</w:t>
            </w:r>
          </w:p>
        </w:tc>
        <w:tc>
          <w:tcPr>
            <w:tcW w:w="1892" w:type="dxa"/>
          </w:tcPr>
          <w:p w14:paraId="1AF4265E" w14:textId="6996BB6F" w:rsidR="00DF69BC" w:rsidRDefault="6ED10FD4" w:rsidP="00FE509C">
            <w:pPr>
              <w:rPr>
                <w:lang w:eastAsia="en-US"/>
              </w:rPr>
            </w:pPr>
            <w:r w:rsidRPr="72DEEDF0">
              <w:rPr>
                <w:lang w:eastAsia="en-US"/>
              </w:rPr>
              <w:t>77</w:t>
            </w:r>
          </w:p>
        </w:tc>
        <w:tc>
          <w:tcPr>
            <w:tcW w:w="1892" w:type="dxa"/>
          </w:tcPr>
          <w:p w14:paraId="2370B2AD" w14:textId="5BBA4C5C" w:rsidR="00DF69BC" w:rsidRDefault="6ED10FD4" w:rsidP="00FE509C">
            <w:pPr>
              <w:rPr>
                <w:lang w:eastAsia="en-US"/>
              </w:rPr>
            </w:pPr>
            <w:r w:rsidRPr="72DEEDF0">
              <w:rPr>
                <w:lang w:eastAsia="en-US"/>
              </w:rPr>
              <w:t>17</w:t>
            </w:r>
          </w:p>
        </w:tc>
      </w:tr>
      <w:tr w:rsidR="00DF69BC" w14:paraId="4A14B6A4" w14:textId="77777777" w:rsidTr="68B2AB36">
        <w:tc>
          <w:tcPr>
            <w:tcW w:w="1891" w:type="dxa"/>
          </w:tcPr>
          <w:p w14:paraId="0AD80C08" w14:textId="10A40799" w:rsidR="00DF69BC" w:rsidRDefault="00DF69BC" w:rsidP="00FE509C">
            <w:pPr>
              <w:rPr>
                <w:lang w:eastAsia="en-US"/>
              </w:rPr>
            </w:pPr>
            <w:r>
              <w:rPr>
                <w:lang w:eastAsia="en-US"/>
              </w:rPr>
              <w:t>Overall</w:t>
            </w:r>
          </w:p>
        </w:tc>
        <w:tc>
          <w:tcPr>
            <w:tcW w:w="1891" w:type="dxa"/>
          </w:tcPr>
          <w:p w14:paraId="1D524AED" w14:textId="35056330" w:rsidR="00DF69BC" w:rsidRDefault="7DD90CE0" w:rsidP="00FE509C">
            <w:pPr>
              <w:rPr>
                <w:lang w:eastAsia="en-US"/>
              </w:rPr>
            </w:pPr>
            <w:r w:rsidRPr="72DEEDF0">
              <w:rPr>
                <w:lang w:eastAsia="en-US"/>
              </w:rPr>
              <w:t>88</w:t>
            </w:r>
          </w:p>
        </w:tc>
        <w:tc>
          <w:tcPr>
            <w:tcW w:w="1892" w:type="dxa"/>
          </w:tcPr>
          <w:p w14:paraId="79112C87" w14:textId="5F891040" w:rsidR="00DF69BC" w:rsidRDefault="7DD90CE0" w:rsidP="00FE509C">
            <w:pPr>
              <w:rPr>
                <w:lang w:eastAsia="en-US"/>
              </w:rPr>
            </w:pPr>
            <w:r w:rsidRPr="72DEEDF0">
              <w:rPr>
                <w:lang w:eastAsia="en-US"/>
              </w:rPr>
              <w:t>25</w:t>
            </w:r>
          </w:p>
        </w:tc>
        <w:tc>
          <w:tcPr>
            <w:tcW w:w="1892" w:type="dxa"/>
          </w:tcPr>
          <w:p w14:paraId="22E62D5B" w14:textId="4A9CAF5C" w:rsidR="00DF69BC" w:rsidRDefault="7DD90CE0" w:rsidP="00FE509C">
            <w:pPr>
              <w:rPr>
                <w:lang w:eastAsia="en-US"/>
              </w:rPr>
            </w:pPr>
            <w:r w:rsidRPr="72DEEDF0">
              <w:rPr>
                <w:lang w:eastAsia="en-US"/>
              </w:rPr>
              <w:t>71</w:t>
            </w:r>
          </w:p>
        </w:tc>
        <w:tc>
          <w:tcPr>
            <w:tcW w:w="1892" w:type="dxa"/>
          </w:tcPr>
          <w:p w14:paraId="7366CEB4" w14:textId="0A61FC28" w:rsidR="00DF69BC" w:rsidRDefault="7DD90CE0" w:rsidP="00FE509C">
            <w:pPr>
              <w:rPr>
                <w:lang w:eastAsia="en-US"/>
              </w:rPr>
            </w:pPr>
            <w:r w:rsidRPr="72DEEDF0">
              <w:rPr>
                <w:lang w:eastAsia="en-US"/>
              </w:rPr>
              <w:t>15</w:t>
            </w:r>
          </w:p>
        </w:tc>
      </w:tr>
    </w:tbl>
    <w:p w14:paraId="522B497E" w14:textId="77777777" w:rsidR="003D639C" w:rsidRDefault="003D639C" w:rsidP="00FE509C">
      <w:pPr>
        <w:rPr>
          <w:lang w:eastAsia="en-US"/>
        </w:rPr>
      </w:pPr>
    </w:p>
    <w:p w14:paraId="425225F7" w14:textId="00973390" w:rsidR="000648D1" w:rsidRDefault="00FE509C" w:rsidP="00FE509C">
      <w:pPr>
        <w:rPr>
          <w:lang w:eastAsia="en-US"/>
        </w:rPr>
      </w:pPr>
      <w:r>
        <w:rPr>
          <w:lang w:eastAsia="en-US"/>
        </w:rPr>
        <w:t>As such, these students are a target group across our access-related interventions. Access Reading is designed to increase knowledge of higher education and support skills required to succeed once in HE.</w:t>
      </w:r>
    </w:p>
    <w:p w14:paraId="2E711019" w14:textId="77777777" w:rsidR="000648D1" w:rsidRDefault="000648D1" w:rsidP="000648D1">
      <w:pPr>
        <w:rPr>
          <w:lang w:eastAsia="en-US"/>
        </w:rPr>
      </w:pPr>
    </w:p>
    <w:p w14:paraId="7950A20C" w14:textId="729F843C" w:rsidR="009F1B75" w:rsidRDefault="00552B64" w:rsidP="000648D1">
      <w:pPr>
        <w:rPr>
          <w:b/>
          <w:bCs/>
          <w:lang w:eastAsia="en-US"/>
        </w:rPr>
      </w:pPr>
      <w:r>
        <w:rPr>
          <w:b/>
          <w:bCs/>
          <w:lang w:eastAsia="en-US"/>
        </w:rPr>
        <w:lastRenderedPageBreak/>
        <w:t xml:space="preserve">Research into </w:t>
      </w:r>
      <w:r w:rsidR="00CF2445">
        <w:rPr>
          <w:b/>
          <w:bCs/>
          <w:lang w:eastAsia="en-US"/>
        </w:rPr>
        <w:t>target group</w:t>
      </w:r>
    </w:p>
    <w:p w14:paraId="6DEADFCD" w14:textId="61495ABC" w:rsidR="00492873" w:rsidRDefault="00492873" w:rsidP="00FB5252">
      <w:pPr>
        <w:rPr>
          <w:lang w:eastAsia="en-US"/>
        </w:rPr>
      </w:pPr>
      <w:r w:rsidRPr="00492873">
        <w:rPr>
          <w:lang w:eastAsia="en-US"/>
        </w:rPr>
        <w:t xml:space="preserve">There has been </w:t>
      </w:r>
      <w:r>
        <w:rPr>
          <w:lang w:eastAsia="en-US"/>
        </w:rPr>
        <w:t xml:space="preserve">some </w:t>
      </w:r>
      <w:r w:rsidRPr="00492873">
        <w:rPr>
          <w:lang w:eastAsia="en-US"/>
        </w:rPr>
        <w:t>research</w:t>
      </w:r>
      <w:r>
        <w:rPr>
          <w:lang w:eastAsia="en-US"/>
        </w:rPr>
        <w:t xml:space="preserve"> conducted</w:t>
      </w:r>
      <w:r w:rsidRPr="00492873">
        <w:rPr>
          <w:lang w:eastAsia="en-US"/>
        </w:rPr>
        <w:t xml:space="preserve"> into the target group for Access Reading and assessing support for students from more disadvantaged backgrounds.  </w:t>
      </w:r>
    </w:p>
    <w:p w14:paraId="4C82E834" w14:textId="75E4F211" w:rsidR="00FB5252" w:rsidRPr="00FB5252" w:rsidRDefault="60D13DB9" w:rsidP="00FB5252">
      <w:pPr>
        <w:rPr>
          <w:lang w:eastAsia="en-US"/>
        </w:rPr>
      </w:pPr>
      <w:r w:rsidRPr="05539986">
        <w:rPr>
          <w:lang w:eastAsia="en-US"/>
        </w:rPr>
        <w:t xml:space="preserve">Peter, Speiss, </w:t>
      </w:r>
      <w:proofErr w:type="spellStart"/>
      <w:r w:rsidRPr="05539986">
        <w:rPr>
          <w:lang w:eastAsia="en-US"/>
        </w:rPr>
        <w:t>Zambre</w:t>
      </w:r>
      <w:proofErr w:type="spellEnd"/>
      <w:r w:rsidRPr="05539986">
        <w:rPr>
          <w:lang w:eastAsia="en-US"/>
        </w:rPr>
        <w:t xml:space="preserve"> (2018)</w:t>
      </w:r>
      <w:r w:rsidR="00FB5252" w:rsidRPr="05539986">
        <w:rPr>
          <w:lang w:eastAsia="en-US"/>
        </w:rPr>
        <w:t xml:space="preserve">, </w:t>
      </w:r>
      <w:r w:rsidR="24AE558E" w:rsidRPr="05539986">
        <w:rPr>
          <w:lang w:eastAsia="en-US"/>
        </w:rPr>
        <w:t xml:space="preserve">Antony </w:t>
      </w:r>
      <w:r w:rsidR="30BC5C4B" w:rsidRPr="05539986">
        <w:rPr>
          <w:lang w:eastAsia="en-US"/>
        </w:rPr>
        <w:t>(</w:t>
      </w:r>
      <w:r w:rsidR="24AE558E" w:rsidRPr="05539986">
        <w:rPr>
          <w:lang w:eastAsia="en-US"/>
        </w:rPr>
        <w:t>2019</w:t>
      </w:r>
      <w:r w:rsidR="29174064" w:rsidRPr="05539986">
        <w:rPr>
          <w:lang w:eastAsia="en-US"/>
        </w:rPr>
        <w:t>) and</w:t>
      </w:r>
      <w:r w:rsidR="00FB5252" w:rsidRPr="05539986">
        <w:rPr>
          <w:lang w:eastAsia="en-US"/>
        </w:rPr>
        <w:t xml:space="preserve"> </w:t>
      </w:r>
      <w:r w:rsidR="1F966055" w:rsidRPr="05539986">
        <w:rPr>
          <w:lang w:eastAsia="en-US"/>
        </w:rPr>
        <w:t xml:space="preserve">Bowman et al </w:t>
      </w:r>
      <w:r w:rsidR="5165DB29" w:rsidRPr="05539986">
        <w:rPr>
          <w:lang w:eastAsia="en-US"/>
        </w:rPr>
        <w:t>(</w:t>
      </w:r>
      <w:r w:rsidR="1F966055" w:rsidRPr="05539986">
        <w:rPr>
          <w:lang w:eastAsia="en-US"/>
        </w:rPr>
        <w:t>2018</w:t>
      </w:r>
      <w:r w:rsidR="1C34FF37" w:rsidRPr="05539986">
        <w:rPr>
          <w:lang w:eastAsia="en-US"/>
        </w:rPr>
        <w:t>)</w:t>
      </w:r>
      <w:r w:rsidR="00FB5252" w:rsidRPr="05539986">
        <w:rPr>
          <w:lang w:eastAsia="en-US"/>
        </w:rPr>
        <w:t xml:space="preserve"> all consider the role of providing information to young people in this target group. </w:t>
      </w:r>
      <w:r w:rsidR="00FB5252" w:rsidRPr="00FB5252">
        <w:rPr>
          <w:lang w:eastAsia="en-US"/>
        </w:rPr>
        <w:t xml:space="preserve">They conclude that provision of information increases the likelihood of </w:t>
      </w:r>
      <w:r w:rsidR="00921FBA" w:rsidRPr="00FB5252">
        <w:rPr>
          <w:lang w:eastAsia="en-US"/>
        </w:rPr>
        <w:t>university</w:t>
      </w:r>
      <w:r w:rsidR="00FB5252" w:rsidRPr="00FB5252">
        <w:rPr>
          <w:lang w:eastAsia="en-US"/>
        </w:rPr>
        <w:t xml:space="preserve"> applications and attendance </w:t>
      </w:r>
      <w:r w:rsidR="00D9508F">
        <w:rPr>
          <w:lang w:eastAsia="en-US"/>
        </w:rPr>
        <w:t xml:space="preserve">in relation to </w:t>
      </w:r>
      <w:r w:rsidR="00921FBA">
        <w:rPr>
          <w:lang w:eastAsia="en-US"/>
        </w:rPr>
        <w:t>peers</w:t>
      </w:r>
      <w:r w:rsidR="00D16723">
        <w:rPr>
          <w:lang w:eastAsia="en-US"/>
        </w:rPr>
        <w:t xml:space="preserve">. However, their studies have a limitation for this context, in that their research is largely conducted at the pre-application stage, whereas Access Reading </w:t>
      </w:r>
      <w:r w:rsidR="00CB297A">
        <w:rPr>
          <w:lang w:eastAsia="en-US"/>
        </w:rPr>
        <w:t xml:space="preserve">works with offer-holders through to enrolment. </w:t>
      </w:r>
      <w:r w:rsidR="00921FBA">
        <w:rPr>
          <w:lang w:eastAsia="en-US"/>
        </w:rPr>
        <w:t xml:space="preserve">Yet the provision of information addressing key barriers for this target group was considered and incorporated as part of the programme, with particular thought applied to which barriers may </w:t>
      </w:r>
      <w:r w:rsidR="00ED0700">
        <w:rPr>
          <w:lang w:eastAsia="en-US"/>
        </w:rPr>
        <w:t>be most prominent at different points on students’ journey to enrolment.</w:t>
      </w:r>
    </w:p>
    <w:p w14:paraId="551301EF" w14:textId="32EFF9A5" w:rsidR="00FB5252" w:rsidRDefault="00FB5252" w:rsidP="00FB5252">
      <w:pPr>
        <w:rPr>
          <w:lang w:eastAsia="en-US"/>
        </w:rPr>
      </w:pPr>
      <w:r w:rsidRPr="00FB5252">
        <w:rPr>
          <w:lang w:eastAsia="en-US"/>
        </w:rPr>
        <w:t xml:space="preserve">Similarly, these </w:t>
      </w:r>
      <w:r w:rsidR="00CF2445">
        <w:rPr>
          <w:lang w:eastAsia="en-US"/>
        </w:rPr>
        <w:t xml:space="preserve">same </w:t>
      </w:r>
      <w:r w:rsidRPr="00FB5252">
        <w:rPr>
          <w:lang w:eastAsia="en-US"/>
        </w:rPr>
        <w:t xml:space="preserve">studies considered other aspects of support such as visits to campus, economic support and mentoring / guidance opportunities which could all have a positive impact on the target group. </w:t>
      </w:r>
      <w:r w:rsidR="003A431C">
        <w:rPr>
          <w:lang w:eastAsia="en-US"/>
        </w:rPr>
        <w:t>This research also holds the same limitation of working with groups pre-application.</w:t>
      </w:r>
    </w:p>
    <w:p w14:paraId="55F2B107" w14:textId="2DAE93A7" w:rsidR="00B875CF" w:rsidRDefault="003A431C" w:rsidP="00B875CF">
      <w:pPr>
        <w:rPr>
          <w:lang w:eastAsia="en-US"/>
        </w:rPr>
      </w:pPr>
      <w:r>
        <w:rPr>
          <w:lang w:eastAsia="en-US"/>
        </w:rPr>
        <w:t xml:space="preserve">Significantly, there have </w:t>
      </w:r>
      <w:r w:rsidR="004766F6">
        <w:rPr>
          <w:lang w:eastAsia="en-US"/>
        </w:rPr>
        <w:t>been a few examples of research conducted with prospective students</w:t>
      </w:r>
      <w:r w:rsidR="00B875CF">
        <w:rPr>
          <w:lang w:eastAsia="en-US"/>
        </w:rPr>
        <w:t xml:space="preserve"> in</w:t>
      </w:r>
      <w:r w:rsidR="004766F6">
        <w:rPr>
          <w:lang w:eastAsia="en-US"/>
        </w:rPr>
        <w:t xml:space="preserve"> </w:t>
      </w:r>
      <w:r w:rsidR="00B875CF">
        <w:rPr>
          <w:lang w:eastAsia="en-US"/>
        </w:rPr>
        <w:t xml:space="preserve">the summer period between final examinations and University enrolment. </w:t>
      </w:r>
      <w:r w:rsidR="00B875CF" w:rsidRPr="05539986">
        <w:rPr>
          <w:lang w:eastAsia="en-US"/>
        </w:rPr>
        <w:t>Castleman</w:t>
      </w:r>
      <w:r w:rsidR="7AA460F7" w:rsidRPr="05539986">
        <w:rPr>
          <w:lang w:eastAsia="en-US"/>
        </w:rPr>
        <w:t xml:space="preserve"> (2012</w:t>
      </w:r>
      <w:r w:rsidR="0072135A">
        <w:rPr>
          <w:lang w:eastAsia="en-US"/>
        </w:rPr>
        <w:t xml:space="preserve">; </w:t>
      </w:r>
      <w:r w:rsidR="7AA460F7" w:rsidRPr="05539986">
        <w:rPr>
          <w:lang w:eastAsia="en-US"/>
        </w:rPr>
        <w:t>2013</w:t>
      </w:r>
      <w:r w:rsidR="0072135A">
        <w:rPr>
          <w:lang w:eastAsia="en-US"/>
        </w:rPr>
        <w:t xml:space="preserve">; </w:t>
      </w:r>
      <w:r w:rsidR="7AA460F7" w:rsidRPr="05539986">
        <w:rPr>
          <w:lang w:eastAsia="en-US"/>
        </w:rPr>
        <w:t>2014</w:t>
      </w:r>
      <w:r w:rsidR="0072135A">
        <w:rPr>
          <w:lang w:eastAsia="en-US"/>
        </w:rPr>
        <w:t xml:space="preserve">; </w:t>
      </w:r>
      <w:r w:rsidR="7AA460F7" w:rsidRPr="05539986">
        <w:rPr>
          <w:lang w:eastAsia="en-US"/>
        </w:rPr>
        <w:t>2015)</w:t>
      </w:r>
      <w:r w:rsidR="00B875CF">
        <w:rPr>
          <w:lang w:eastAsia="en-US"/>
        </w:rPr>
        <w:t xml:space="preserve"> has produced </w:t>
      </w:r>
      <w:r w:rsidR="00A93BB7">
        <w:rPr>
          <w:lang w:eastAsia="en-US"/>
        </w:rPr>
        <w:t>a series of</w:t>
      </w:r>
      <w:r w:rsidR="00B875CF">
        <w:rPr>
          <w:lang w:eastAsia="en-US"/>
        </w:rPr>
        <w:t xml:space="preserve"> studies</w:t>
      </w:r>
      <w:r w:rsidR="00A93BB7">
        <w:rPr>
          <w:lang w:eastAsia="en-US"/>
        </w:rPr>
        <w:t xml:space="preserve"> culminating in </w:t>
      </w:r>
      <w:r w:rsidR="006B4E3F">
        <w:rPr>
          <w:lang w:eastAsia="en-US"/>
        </w:rPr>
        <w:t>their book</w:t>
      </w:r>
      <w:r w:rsidR="729B727A" w:rsidRPr="05539986">
        <w:rPr>
          <w:lang w:eastAsia="en-US"/>
        </w:rPr>
        <w:t xml:space="preserve"> (2020)</w:t>
      </w:r>
      <w:r w:rsidR="006B4E3F" w:rsidRPr="05539986">
        <w:rPr>
          <w:lang w:eastAsia="en-US"/>
        </w:rPr>
        <w:t>,</w:t>
      </w:r>
      <w:r w:rsidR="00B875CF">
        <w:rPr>
          <w:lang w:eastAsia="en-US"/>
        </w:rPr>
        <w:t xml:space="preserve"> looking at a variety of interventions and how they can reduce the ‘summer melt’ effect in the target group</w:t>
      </w:r>
      <w:r w:rsidR="006B4E3F">
        <w:rPr>
          <w:lang w:eastAsia="en-US"/>
        </w:rPr>
        <w:t>. This summer melt is a term used to describe</w:t>
      </w:r>
      <w:r w:rsidR="00B875CF">
        <w:rPr>
          <w:lang w:eastAsia="en-US"/>
        </w:rPr>
        <w:t xml:space="preserve"> when individuals</w:t>
      </w:r>
      <w:r w:rsidR="00F52A3B">
        <w:rPr>
          <w:lang w:eastAsia="en-US"/>
        </w:rPr>
        <w:t>,</w:t>
      </w:r>
      <w:r w:rsidR="00B875CF">
        <w:rPr>
          <w:lang w:eastAsia="en-US"/>
        </w:rPr>
        <w:t xml:space="preserve"> who had previously decided to attend University, change their mind over the summer period. The research highlights the benefits of mentoring and guidance during this period, as well as low-touch interventions such text communications offering support with key milestones.</w:t>
      </w:r>
    </w:p>
    <w:p w14:paraId="67510EB5" w14:textId="364893AD" w:rsidR="00552B64" w:rsidRPr="00552B64" w:rsidRDefault="00CF7F7D" w:rsidP="000648D1">
      <w:pPr>
        <w:rPr>
          <w:b/>
          <w:bCs/>
          <w:lang w:eastAsia="en-US"/>
        </w:rPr>
      </w:pPr>
      <w:r>
        <w:rPr>
          <w:lang w:eastAsia="en-US"/>
        </w:rPr>
        <w:t xml:space="preserve">While there are limitations in Castleman’s studies for this intervention’s context, namely </w:t>
      </w:r>
      <w:r w:rsidR="009B258D">
        <w:rPr>
          <w:lang w:eastAsia="en-US"/>
        </w:rPr>
        <w:t xml:space="preserve">that the research was conducted in the US rather than the UK, </w:t>
      </w:r>
      <w:r w:rsidR="00B875CF">
        <w:rPr>
          <w:lang w:eastAsia="en-US"/>
        </w:rPr>
        <w:t xml:space="preserve">Access Reading </w:t>
      </w:r>
      <w:r w:rsidR="00F52A3B">
        <w:rPr>
          <w:lang w:eastAsia="en-US"/>
        </w:rPr>
        <w:t>drew</w:t>
      </w:r>
      <w:r w:rsidR="00B875CF">
        <w:rPr>
          <w:lang w:eastAsia="en-US"/>
        </w:rPr>
        <w:t xml:space="preserve"> on some key features of this research. While ‘mentoring’ </w:t>
      </w:r>
      <w:r w:rsidR="008311CC">
        <w:rPr>
          <w:lang w:eastAsia="en-US"/>
        </w:rPr>
        <w:t>was</w:t>
      </w:r>
      <w:r w:rsidR="00B875CF">
        <w:rPr>
          <w:lang w:eastAsia="en-US"/>
        </w:rPr>
        <w:t xml:space="preserve"> not directly provided, individualised support </w:t>
      </w:r>
      <w:r w:rsidR="008311CC">
        <w:rPr>
          <w:lang w:eastAsia="en-US"/>
        </w:rPr>
        <w:t>was</w:t>
      </w:r>
      <w:r w:rsidR="00B875CF">
        <w:rPr>
          <w:lang w:eastAsia="en-US"/>
        </w:rPr>
        <w:t xml:space="preserve"> offered to students through student ambassadors and staff. Additionally, the use of </w:t>
      </w:r>
      <w:proofErr w:type="spellStart"/>
      <w:r w:rsidR="00B875CF">
        <w:rPr>
          <w:lang w:eastAsia="en-US"/>
        </w:rPr>
        <w:t>Uni</w:t>
      </w:r>
      <w:r w:rsidR="00F52A3B">
        <w:rPr>
          <w:lang w:eastAsia="en-US"/>
        </w:rPr>
        <w:t>b</w:t>
      </w:r>
      <w:r w:rsidR="00B875CF">
        <w:rPr>
          <w:lang w:eastAsia="en-US"/>
        </w:rPr>
        <w:t>uddy</w:t>
      </w:r>
      <w:proofErr w:type="spellEnd"/>
      <w:r w:rsidR="00B875CF">
        <w:rPr>
          <w:lang w:eastAsia="en-US"/>
        </w:rPr>
        <w:t xml:space="preserve"> community create</w:t>
      </w:r>
      <w:r w:rsidR="00F52A3B">
        <w:rPr>
          <w:lang w:eastAsia="en-US"/>
        </w:rPr>
        <w:t>d</w:t>
      </w:r>
      <w:r w:rsidR="00B875CF">
        <w:rPr>
          <w:lang w:eastAsia="en-US"/>
        </w:rPr>
        <w:t xml:space="preserve"> an on-demand, low stakes way of students seeking support, which mirrors some of the successes of the text message intervention.</w:t>
      </w:r>
      <w:r w:rsidR="008311CC">
        <w:rPr>
          <w:lang w:eastAsia="en-US"/>
        </w:rPr>
        <w:t xml:space="preserve"> </w:t>
      </w:r>
    </w:p>
    <w:p w14:paraId="480FAFEC" w14:textId="77777777" w:rsidR="009F1B75" w:rsidRPr="000648D1" w:rsidRDefault="009F1B75" w:rsidP="000648D1">
      <w:pPr>
        <w:rPr>
          <w:lang w:eastAsia="en-US"/>
        </w:rPr>
      </w:pPr>
    </w:p>
    <w:p w14:paraId="79301531" w14:textId="3EC91EFD" w:rsidR="009E20C3" w:rsidRDefault="659338F0" w:rsidP="00176CC6">
      <w:pPr>
        <w:pStyle w:val="Heading2"/>
      </w:pPr>
      <w:bookmarkStart w:id="8" w:name="_Toc227058288"/>
      <w:r>
        <w:t>Intervention</w:t>
      </w:r>
      <w:bookmarkEnd w:id="8"/>
    </w:p>
    <w:p w14:paraId="4964B1AF" w14:textId="2D07B843" w:rsidR="000263D5" w:rsidRDefault="000263D5" w:rsidP="000263D5">
      <w:r>
        <w:t xml:space="preserve">The overarching aim of Access Reading is to facilitate a smooth transition to university for targeted University of Reading applicants and therefore increase enrolments from these applicants. This aim encompasses the following objectives for the programme:  </w:t>
      </w:r>
    </w:p>
    <w:p w14:paraId="45666264" w14:textId="736A4E4A" w:rsidR="000263D5" w:rsidRDefault="000263D5" w:rsidP="00654B8F">
      <w:pPr>
        <w:pStyle w:val="ListParagraph"/>
        <w:numPr>
          <w:ilvl w:val="0"/>
          <w:numId w:val="11"/>
        </w:numPr>
      </w:pPr>
      <w:r>
        <w:t xml:space="preserve">To aid participants’ academic preparedness for university-level studies by equipping them with essential course-related study skills.  </w:t>
      </w:r>
    </w:p>
    <w:p w14:paraId="34B96C1C" w14:textId="2EACEAB9" w:rsidR="000263D5" w:rsidRDefault="000263D5" w:rsidP="00654B8F">
      <w:pPr>
        <w:pStyle w:val="ListParagraph"/>
        <w:numPr>
          <w:ilvl w:val="0"/>
          <w:numId w:val="11"/>
        </w:numPr>
      </w:pPr>
      <w:r>
        <w:lastRenderedPageBreak/>
        <w:t>To establish meaningful connections between participants and university affiliates, to foster a sense of belonging, eas</w:t>
      </w:r>
      <w:r w:rsidR="008929D8">
        <w:t>e</w:t>
      </w:r>
      <w:r>
        <w:t xml:space="preserve"> apprehension, and develop transferable skills.   </w:t>
      </w:r>
    </w:p>
    <w:p w14:paraId="0D8A972A" w14:textId="013B2484" w:rsidR="000263D5" w:rsidRDefault="000263D5" w:rsidP="00654B8F">
      <w:pPr>
        <w:pStyle w:val="ListParagraph"/>
        <w:numPr>
          <w:ilvl w:val="0"/>
          <w:numId w:val="11"/>
        </w:numPr>
      </w:pPr>
      <w:r>
        <w:t xml:space="preserve">To address concerns held by participants about accessing HE to support journey through to enrolment. </w:t>
      </w:r>
    </w:p>
    <w:p w14:paraId="18D5DFBB" w14:textId="77777777" w:rsidR="000263D5" w:rsidRDefault="000263D5" w:rsidP="00654B8F">
      <w:pPr>
        <w:pStyle w:val="ListParagraph"/>
        <w:numPr>
          <w:ilvl w:val="0"/>
          <w:numId w:val="11"/>
        </w:numPr>
      </w:pPr>
      <w:r>
        <w:t xml:space="preserve">To familiarise participants with university life, particularly at the University of Reading, and our student support systems. This aims to instil confidence in our institution and the uptake of student support during their university experience.    </w:t>
      </w:r>
    </w:p>
    <w:p w14:paraId="5FF4C89F" w14:textId="77777777" w:rsidR="000263D5" w:rsidRDefault="000263D5" w:rsidP="000263D5"/>
    <w:p w14:paraId="26752F40" w14:textId="1569D63D" w:rsidR="008312CE" w:rsidRDefault="008312CE" w:rsidP="000263D5">
      <w:r>
        <w:t>The programme ran with the following structure:</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5"/>
        <w:gridCol w:w="8065"/>
      </w:tblGrid>
      <w:tr w:rsidR="008312CE" w:rsidRPr="008312CE" w14:paraId="1727FBDB" w14:textId="77777777" w:rsidTr="008312CE">
        <w:trPr>
          <w:trHeight w:val="300"/>
        </w:trPr>
        <w:tc>
          <w:tcPr>
            <w:tcW w:w="1425" w:type="dxa"/>
            <w:tcBorders>
              <w:top w:val="single" w:sz="6" w:space="0" w:color="auto"/>
              <w:left w:val="single" w:sz="6" w:space="0" w:color="auto"/>
              <w:bottom w:val="single" w:sz="6" w:space="0" w:color="auto"/>
              <w:right w:val="single" w:sz="6" w:space="0" w:color="auto"/>
            </w:tcBorders>
            <w:hideMark/>
          </w:tcPr>
          <w:p w14:paraId="64123040" w14:textId="77777777" w:rsidR="008312CE" w:rsidRPr="008312CE" w:rsidRDefault="008312CE" w:rsidP="008312CE">
            <w:r w:rsidRPr="008312CE">
              <w:rPr>
                <w:b/>
                <w:bCs/>
              </w:rPr>
              <w:t>Timeline</w:t>
            </w:r>
            <w:r w:rsidRPr="008312CE">
              <w:t> </w:t>
            </w:r>
          </w:p>
        </w:tc>
        <w:tc>
          <w:tcPr>
            <w:tcW w:w="8065" w:type="dxa"/>
            <w:tcBorders>
              <w:top w:val="single" w:sz="6" w:space="0" w:color="auto"/>
              <w:left w:val="single" w:sz="6" w:space="0" w:color="auto"/>
              <w:bottom w:val="single" w:sz="6" w:space="0" w:color="auto"/>
              <w:right w:val="single" w:sz="6" w:space="0" w:color="auto"/>
            </w:tcBorders>
            <w:hideMark/>
          </w:tcPr>
          <w:p w14:paraId="28D1E417" w14:textId="77777777" w:rsidR="008312CE" w:rsidRPr="008312CE" w:rsidRDefault="008312CE" w:rsidP="008312CE">
            <w:r w:rsidRPr="008312CE">
              <w:rPr>
                <w:b/>
                <w:bCs/>
              </w:rPr>
              <w:t>Activity</w:t>
            </w:r>
            <w:r w:rsidRPr="008312CE">
              <w:t> </w:t>
            </w:r>
          </w:p>
        </w:tc>
      </w:tr>
      <w:tr w:rsidR="008312CE" w:rsidRPr="008312CE" w14:paraId="44BEFA3C" w14:textId="77777777" w:rsidTr="008312CE">
        <w:trPr>
          <w:trHeight w:val="300"/>
        </w:trPr>
        <w:tc>
          <w:tcPr>
            <w:tcW w:w="1425" w:type="dxa"/>
            <w:tcBorders>
              <w:top w:val="single" w:sz="6" w:space="0" w:color="auto"/>
              <w:left w:val="single" w:sz="6" w:space="0" w:color="auto"/>
              <w:bottom w:val="single" w:sz="6" w:space="0" w:color="auto"/>
              <w:right w:val="single" w:sz="6" w:space="0" w:color="auto"/>
            </w:tcBorders>
            <w:hideMark/>
          </w:tcPr>
          <w:p w14:paraId="73F5CE8E" w14:textId="77777777" w:rsidR="008312CE" w:rsidRPr="008312CE" w:rsidRDefault="008312CE" w:rsidP="008312CE">
            <w:r w:rsidRPr="008312CE">
              <w:rPr>
                <w:b/>
                <w:bCs/>
              </w:rPr>
              <w:t>March 2025</w:t>
            </w:r>
            <w:r w:rsidRPr="008312CE">
              <w:t> </w:t>
            </w:r>
          </w:p>
        </w:tc>
        <w:tc>
          <w:tcPr>
            <w:tcW w:w="8065" w:type="dxa"/>
            <w:tcBorders>
              <w:top w:val="single" w:sz="6" w:space="0" w:color="auto"/>
              <w:left w:val="single" w:sz="6" w:space="0" w:color="auto"/>
              <w:bottom w:val="single" w:sz="6" w:space="0" w:color="auto"/>
              <w:right w:val="single" w:sz="6" w:space="0" w:color="auto"/>
            </w:tcBorders>
            <w:hideMark/>
          </w:tcPr>
          <w:p w14:paraId="38022129" w14:textId="77777777" w:rsidR="008312CE" w:rsidRPr="008312CE" w:rsidRDefault="008312CE" w:rsidP="008312CE">
            <w:r w:rsidRPr="008312CE">
              <w:t>Email communications to relevant applicants and onboarding of students  </w:t>
            </w:r>
          </w:p>
        </w:tc>
      </w:tr>
      <w:tr w:rsidR="008312CE" w:rsidRPr="008312CE" w14:paraId="087A83AD" w14:textId="77777777" w:rsidTr="008312CE">
        <w:trPr>
          <w:trHeight w:val="561"/>
        </w:trPr>
        <w:tc>
          <w:tcPr>
            <w:tcW w:w="1425" w:type="dxa"/>
            <w:tcBorders>
              <w:top w:val="single" w:sz="6" w:space="0" w:color="auto"/>
              <w:left w:val="single" w:sz="6" w:space="0" w:color="auto"/>
              <w:bottom w:val="single" w:sz="6" w:space="0" w:color="auto"/>
              <w:right w:val="single" w:sz="6" w:space="0" w:color="auto"/>
            </w:tcBorders>
            <w:hideMark/>
          </w:tcPr>
          <w:p w14:paraId="6D92AF8E" w14:textId="77777777" w:rsidR="008312CE" w:rsidRPr="008312CE" w:rsidRDefault="008312CE" w:rsidP="008312CE">
            <w:r w:rsidRPr="008312CE">
              <w:rPr>
                <w:b/>
                <w:bCs/>
              </w:rPr>
              <w:t>March 2025</w:t>
            </w:r>
            <w:r w:rsidRPr="008312CE">
              <w:t> </w:t>
            </w:r>
          </w:p>
        </w:tc>
        <w:tc>
          <w:tcPr>
            <w:tcW w:w="8065" w:type="dxa"/>
            <w:tcBorders>
              <w:top w:val="single" w:sz="6" w:space="0" w:color="auto"/>
              <w:left w:val="single" w:sz="6" w:space="0" w:color="auto"/>
              <w:bottom w:val="single" w:sz="6" w:space="0" w:color="auto"/>
              <w:right w:val="single" w:sz="6" w:space="0" w:color="auto"/>
            </w:tcBorders>
            <w:hideMark/>
          </w:tcPr>
          <w:p w14:paraId="6C90C24A" w14:textId="7CC2597B" w:rsidR="008312CE" w:rsidRPr="008312CE" w:rsidRDefault="008312CE" w:rsidP="008312CE">
            <w:r w:rsidRPr="008312CE">
              <w:t>Join an online community with the opportunity to meet other applicants </w:t>
            </w:r>
          </w:p>
        </w:tc>
      </w:tr>
      <w:tr w:rsidR="008312CE" w:rsidRPr="008312CE" w14:paraId="2D824F7E" w14:textId="77777777" w:rsidTr="008312CE">
        <w:trPr>
          <w:trHeight w:val="300"/>
        </w:trPr>
        <w:tc>
          <w:tcPr>
            <w:tcW w:w="1425" w:type="dxa"/>
            <w:tcBorders>
              <w:top w:val="single" w:sz="6" w:space="0" w:color="auto"/>
              <w:left w:val="single" w:sz="6" w:space="0" w:color="auto"/>
              <w:bottom w:val="single" w:sz="6" w:space="0" w:color="auto"/>
              <w:right w:val="single" w:sz="6" w:space="0" w:color="auto"/>
            </w:tcBorders>
            <w:hideMark/>
          </w:tcPr>
          <w:p w14:paraId="5F1A41D0" w14:textId="77777777" w:rsidR="008312CE" w:rsidRPr="008312CE" w:rsidRDefault="008312CE" w:rsidP="008312CE">
            <w:r w:rsidRPr="008312CE">
              <w:rPr>
                <w:b/>
                <w:bCs/>
              </w:rPr>
              <w:t>April 2025</w:t>
            </w:r>
            <w:r w:rsidRPr="008312CE">
              <w:t> </w:t>
            </w:r>
          </w:p>
        </w:tc>
        <w:tc>
          <w:tcPr>
            <w:tcW w:w="8065" w:type="dxa"/>
            <w:tcBorders>
              <w:top w:val="single" w:sz="6" w:space="0" w:color="auto"/>
              <w:left w:val="single" w:sz="6" w:space="0" w:color="auto"/>
              <w:bottom w:val="single" w:sz="6" w:space="0" w:color="auto"/>
              <w:right w:val="single" w:sz="6" w:space="0" w:color="auto"/>
            </w:tcBorders>
            <w:hideMark/>
          </w:tcPr>
          <w:p w14:paraId="0D5BAAB9" w14:textId="6B05C9F4" w:rsidR="008312CE" w:rsidRPr="008312CE" w:rsidRDefault="008312CE" w:rsidP="008312CE">
            <w:r w:rsidRPr="008312CE">
              <w:t>Attend an in-person event in April with the opportunity to: </w:t>
            </w:r>
          </w:p>
          <w:p w14:paraId="10B12CBD" w14:textId="77777777" w:rsidR="008312CE" w:rsidRPr="008312CE" w:rsidRDefault="008312CE" w:rsidP="008312CE">
            <w:r w:rsidRPr="008312CE">
              <w:t>a. Network with other applicants </w:t>
            </w:r>
          </w:p>
          <w:p w14:paraId="780E049B" w14:textId="77777777" w:rsidR="008312CE" w:rsidRPr="008312CE" w:rsidRDefault="008312CE" w:rsidP="008312CE">
            <w:r w:rsidRPr="008312CE">
              <w:t>b. Network with academics from their course and existing student ambassadors </w:t>
            </w:r>
          </w:p>
          <w:p w14:paraId="4CD3A61E" w14:textId="77777777" w:rsidR="008312CE" w:rsidRPr="008312CE" w:rsidRDefault="008312CE" w:rsidP="008312CE">
            <w:r w:rsidRPr="008312CE">
              <w:t>c. Engage in a preparatory academic session to prepare them for University study (ideally delivered by academics) </w:t>
            </w:r>
          </w:p>
          <w:p w14:paraId="73D0D4D8" w14:textId="328B5920" w:rsidR="008312CE" w:rsidRPr="008312CE" w:rsidRDefault="008312CE" w:rsidP="008312CE">
            <w:r w:rsidRPr="008312CE">
              <w:t>d. Find out about support services at the University of Reading who can help them with barriers to enrolment and once they have started. </w:t>
            </w:r>
          </w:p>
        </w:tc>
      </w:tr>
      <w:tr w:rsidR="008312CE" w:rsidRPr="008312CE" w14:paraId="6B74C299" w14:textId="77777777" w:rsidTr="008312CE">
        <w:trPr>
          <w:trHeight w:val="300"/>
        </w:trPr>
        <w:tc>
          <w:tcPr>
            <w:tcW w:w="1425" w:type="dxa"/>
            <w:tcBorders>
              <w:top w:val="single" w:sz="6" w:space="0" w:color="auto"/>
              <w:left w:val="single" w:sz="6" w:space="0" w:color="auto"/>
              <w:bottom w:val="single" w:sz="6" w:space="0" w:color="auto"/>
              <w:right w:val="single" w:sz="6" w:space="0" w:color="auto"/>
            </w:tcBorders>
            <w:hideMark/>
          </w:tcPr>
          <w:p w14:paraId="7B305356" w14:textId="77777777" w:rsidR="008312CE" w:rsidRPr="008312CE" w:rsidRDefault="008312CE" w:rsidP="008312CE">
            <w:r w:rsidRPr="008312CE">
              <w:rPr>
                <w:b/>
                <w:bCs/>
              </w:rPr>
              <w:t>April – Jul 2025</w:t>
            </w:r>
            <w:r w:rsidRPr="008312CE">
              <w:t> </w:t>
            </w:r>
          </w:p>
        </w:tc>
        <w:tc>
          <w:tcPr>
            <w:tcW w:w="8065" w:type="dxa"/>
            <w:tcBorders>
              <w:top w:val="single" w:sz="6" w:space="0" w:color="auto"/>
              <w:left w:val="single" w:sz="6" w:space="0" w:color="auto"/>
              <w:bottom w:val="single" w:sz="6" w:space="0" w:color="auto"/>
              <w:right w:val="single" w:sz="6" w:space="0" w:color="auto"/>
            </w:tcBorders>
            <w:hideMark/>
          </w:tcPr>
          <w:p w14:paraId="1C89BF18" w14:textId="6A11068D" w:rsidR="008312CE" w:rsidRPr="008312CE" w:rsidRDefault="008312CE" w:rsidP="008312CE">
            <w:r w:rsidRPr="008312CE">
              <w:t>Continue in an online community with other applicants, student ambassadors and staff. </w:t>
            </w:r>
          </w:p>
        </w:tc>
      </w:tr>
      <w:tr w:rsidR="008312CE" w:rsidRPr="008312CE" w14:paraId="000F4929" w14:textId="77777777" w:rsidTr="008312CE">
        <w:trPr>
          <w:trHeight w:val="300"/>
        </w:trPr>
        <w:tc>
          <w:tcPr>
            <w:tcW w:w="1425" w:type="dxa"/>
            <w:tcBorders>
              <w:top w:val="single" w:sz="6" w:space="0" w:color="auto"/>
              <w:left w:val="single" w:sz="6" w:space="0" w:color="auto"/>
              <w:bottom w:val="single" w:sz="6" w:space="0" w:color="auto"/>
              <w:right w:val="single" w:sz="6" w:space="0" w:color="auto"/>
            </w:tcBorders>
            <w:hideMark/>
          </w:tcPr>
          <w:p w14:paraId="795A6156" w14:textId="77777777" w:rsidR="008312CE" w:rsidRPr="008312CE" w:rsidRDefault="008312CE" w:rsidP="008312CE">
            <w:r w:rsidRPr="008312CE">
              <w:rPr>
                <w:b/>
                <w:bCs/>
              </w:rPr>
              <w:t>April – Jul 2025</w:t>
            </w:r>
            <w:r w:rsidRPr="008312CE">
              <w:t> </w:t>
            </w:r>
          </w:p>
        </w:tc>
        <w:tc>
          <w:tcPr>
            <w:tcW w:w="8065" w:type="dxa"/>
            <w:tcBorders>
              <w:top w:val="single" w:sz="6" w:space="0" w:color="auto"/>
              <w:left w:val="single" w:sz="6" w:space="0" w:color="auto"/>
              <w:bottom w:val="single" w:sz="6" w:space="0" w:color="auto"/>
              <w:right w:val="single" w:sz="6" w:space="0" w:color="auto"/>
            </w:tcBorders>
            <w:hideMark/>
          </w:tcPr>
          <w:p w14:paraId="1B5526E4" w14:textId="77777777" w:rsidR="008312CE" w:rsidRPr="008312CE" w:rsidRDefault="008312CE" w:rsidP="008312CE">
            <w:r w:rsidRPr="008312CE">
              <w:t>Receive regular updates on relevant topics to help prepare for enrolment – study skills, accommodation advice, student finance support etc. </w:t>
            </w:r>
          </w:p>
          <w:p w14:paraId="1F57A2DA" w14:textId="1C8F95E4" w:rsidR="008312CE" w:rsidRPr="008312CE" w:rsidRDefault="008312CE" w:rsidP="008312CE">
            <w:r w:rsidRPr="008312CE">
              <w:t>This will be a pre-recorded video, summary blog and then discussion in smaller groups facilitated by ambassadors. This will all be on demand but still provide the opportunity to ask questions. </w:t>
            </w:r>
          </w:p>
        </w:tc>
      </w:tr>
      <w:tr w:rsidR="008312CE" w:rsidRPr="008312CE" w14:paraId="0C5304C4" w14:textId="77777777" w:rsidTr="008312CE">
        <w:trPr>
          <w:trHeight w:val="300"/>
        </w:trPr>
        <w:tc>
          <w:tcPr>
            <w:tcW w:w="1425" w:type="dxa"/>
            <w:tcBorders>
              <w:top w:val="single" w:sz="6" w:space="0" w:color="auto"/>
              <w:left w:val="single" w:sz="6" w:space="0" w:color="auto"/>
              <w:bottom w:val="single" w:sz="6" w:space="0" w:color="auto"/>
              <w:right w:val="single" w:sz="6" w:space="0" w:color="auto"/>
            </w:tcBorders>
            <w:hideMark/>
          </w:tcPr>
          <w:p w14:paraId="657653B4" w14:textId="77777777" w:rsidR="008312CE" w:rsidRPr="008312CE" w:rsidRDefault="008312CE" w:rsidP="008312CE">
            <w:r w:rsidRPr="008312CE">
              <w:rPr>
                <w:b/>
                <w:bCs/>
              </w:rPr>
              <w:t>April – Jul 2025</w:t>
            </w:r>
            <w:r w:rsidRPr="008312CE">
              <w:t> </w:t>
            </w:r>
          </w:p>
        </w:tc>
        <w:tc>
          <w:tcPr>
            <w:tcW w:w="8065" w:type="dxa"/>
            <w:tcBorders>
              <w:top w:val="single" w:sz="6" w:space="0" w:color="auto"/>
              <w:left w:val="single" w:sz="6" w:space="0" w:color="auto"/>
              <w:bottom w:val="single" w:sz="6" w:space="0" w:color="auto"/>
              <w:right w:val="single" w:sz="6" w:space="0" w:color="auto"/>
            </w:tcBorders>
            <w:hideMark/>
          </w:tcPr>
          <w:p w14:paraId="5618B134" w14:textId="5446670F" w:rsidR="008312CE" w:rsidRPr="008312CE" w:rsidRDefault="008312CE" w:rsidP="008312CE">
            <w:r w:rsidRPr="008312CE">
              <w:t xml:space="preserve">Personalised support and guidance from staff when requested / issue arises through </w:t>
            </w:r>
            <w:proofErr w:type="spellStart"/>
            <w:r w:rsidRPr="008312CE">
              <w:t>Unibuddy</w:t>
            </w:r>
            <w:proofErr w:type="spellEnd"/>
            <w:r w:rsidRPr="008312CE">
              <w:t xml:space="preserve"> or the Access Reading email. </w:t>
            </w:r>
          </w:p>
        </w:tc>
      </w:tr>
      <w:tr w:rsidR="008312CE" w:rsidRPr="008312CE" w14:paraId="3FC39517" w14:textId="77777777" w:rsidTr="008312CE">
        <w:trPr>
          <w:trHeight w:val="300"/>
        </w:trPr>
        <w:tc>
          <w:tcPr>
            <w:tcW w:w="1425" w:type="dxa"/>
            <w:tcBorders>
              <w:top w:val="single" w:sz="6" w:space="0" w:color="auto"/>
              <w:left w:val="single" w:sz="6" w:space="0" w:color="auto"/>
              <w:bottom w:val="single" w:sz="6" w:space="0" w:color="auto"/>
              <w:right w:val="single" w:sz="6" w:space="0" w:color="auto"/>
            </w:tcBorders>
            <w:hideMark/>
          </w:tcPr>
          <w:p w14:paraId="67EA83C1" w14:textId="77777777" w:rsidR="008312CE" w:rsidRPr="008312CE" w:rsidRDefault="008312CE" w:rsidP="008312CE">
            <w:r w:rsidRPr="008312CE">
              <w:rPr>
                <w:b/>
                <w:bCs/>
              </w:rPr>
              <w:t>June 2025</w:t>
            </w:r>
            <w:r w:rsidRPr="008312CE">
              <w:t> </w:t>
            </w:r>
          </w:p>
        </w:tc>
        <w:tc>
          <w:tcPr>
            <w:tcW w:w="8065" w:type="dxa"/>
            <w:tcBorders>
              <w:top w:val="single" w:sz="6" w:space="0" w:color="auto"/>
              <w:left w:val="single" w:sz="6" w:space="0" w:color="auto"/>
              <w:bottom w:val="single" w:sz="6" w:space="0" w:color="auto"/>
              <w:right w:val="single" w:sz="6" w:space="0" w:color="auto"/>
            </w:tcBorders>
            <w:hideMark/>
          </w:tcPr>
          <w:p w14:paraId="277E9FC2" w14:textId="36217C9B" w:rsidR="008312CE" w:rsidRPr="008312CE" w:rsidRDefault="008312CE" w:rsidP="008312CE">
            <w:r w:rsidRPr="008312CE">
              <w:t>Invite to the June Open Day if they have not previously been able to attend an event on campus. </w:t>
            </w:r>
          </w:p>
        </w:tc>
      </w:tr>
      <w:tr w:rsidR="008312CE" w:rsidRPr="008312CE" w14:paraId="055993D5" w14:textId="77777777" w:rsidTr="008312CE">
        <w:trPr>
          <w:trHeight w:val="300"/>
        </w:trPr>
        <w:tc>
          <w:tcPr>
            <w:tcW w:w="1425" w:type="dxa"/>
            <w:tcBorders>
              <w:top w:val="single" w:sz="6" w:space="0" w:color="auto"/>
              <w:left w:val="single" w:sz="6" w:space="0" w:color="auto"/>
              <w:bottom w:val="single" w:sz="6" w:space="0" w:color="auto"/>
              <w:right w:val="single" w:sz="6" w:space="0" w:color="auto"/>
            </w:tcBorders>
            <w:hideMark/>
          </w:tcPr>
          <w:p w14:paraId="4D3B755C" w14:textId="77777777" w:rsidR="008312CE" w:rsidRPr="008312CE" w:rsidRDefault="008312CE" w:rsidP="008312CE">
            <w:r w:rsidRPr="008312CE">
              <w:rPr>
                <w:b/>
                <w:bCs/>
              </w:rPr>
              <w:t>October 2025</w:t>
            </w:r>
            <w:r w:rsidRPr="008312CE">
              <w:t> </w:t>
            </w:r>
          </w:p>
        </w:tc>
        <w:tc>
          <w:tcPr>
            <w:tcW w:w="8065" w:type="dxa"/>
            <w:tcBorders>
              <w:top w:val="single" w:sz="6" w:space="0" w:color="auto"/>
              <w:left w:val="single" w:sz="6" w:space="0" w:color="auto"/>
              <w:bottom w:val="single" w:sz="6" w:space="0" w:color="auto"/>
              <w:right w:val="single" w:sz="6" w:space="0" w:color="auto"/>
            </w:tcBorders>
            <w:hideMark/>
          </w:tcPr>
          <w:p w14:paraId="3F644937" w14:textId="26A75E18" w:rsidR="008312CE" w:rsidRPr="008312CE" w:rsidRDefault="008312CE" w:rsidP="008312CE">
            <w:r w:rsidRPr="008312CE">
              <w:t>A welcome event once they have enrolled at the University of Reading. </w:t>
            </w:r>
          </w:p>
        </w:tc>
      </w:tr>
    </w:tbl>
    <w:p w14:paraId="1AF44A9D" w14:textId="6BC563E8" w:rsidR="009E20C3" w:rsidRDefault="009E20C3" w:rsidP="000263D5"/>
    <w:p w14:paraId="31E75AB3" w14:textId="00BFB89B" w:rsidR="006D16F7" w:rsidRDefault="006D16F7" w:rsidP="000263D5">
      <w:r>
        <w:lastRenderedPageBreak/>
        <w:t xml:space="preserve">Significant thought and staff resource went into </w:t>
      </w:r>
      <w:r w:rsidR="002E2C42">
        <w:t>the following, to meet the aims laid out by the previous objectives:</w:t>
      </w:r>
    </w:p>
    <w:p w14:paraId="33361F2E" w14:textId="2B069C59" w:rsidR="002E2C42" w:rsidRDefault="002E2C42" w:rsidP="00654B8F">
      <w:pPr>
        <w:pStyle w:val="ListParagraph"/>
        <w:numPr>
          <w:ilvl w:val="0"/>
          <w:numId w:val="12"/>
        </w:numPr>
      </w:pPr>
      <w:r>
        <w:t>Advertising and promotion of the programme, so that sign ups and engagement increased.</w:t>
      </w:r>
    </w:p>
    <w:p w14:paraId="63587E10" w14:textId="689DB7E1" w:rsidR="002E2C42" w:rsidRDefault="002E2C42" w:rsidP="00654B8F">
      <w:pPr>
        <w:pStyle w:val="ListParagraph"/>
        <w:numPr>
          <w:ilvl w:val="0"/>
          <w:numId w:val="12"/>
        </w:numPr>
      </w:pPr>
      <w:r>
        <w:t xml:space="preserve">Training and guidance of ambassadors </w:t>
      </w:r>
      <w:r w:rsidR="00E4189B">
        <w:t>to facilitate and create student content for the online provision of the programme.</w:t>
      </w:r>
    </w:p>
    <w:p w14:paraId="79D32F4F" w14:textId="0B7BB17F" w:rsidR="00283B50" w:rsidRDefault="659338F0" w:rsidP="00176CC6">
      <w:pPr>
        <w:pStyle w:val="Heading2"/>
      </w:pPr>
      <w:bookmarkStart w:id="9" w:name="_Toc227058289"/>
      <w:r>
        <w:t>Context</w:t>
      </w:r>
      <w:bookmarkEnd w:id="9"/>
    </w:p>
    <w:p w14:paraId="379E23CE" w14:textId="238A9668" w:rsidR="00EF7D68" w:rsidRDefault="00721394" w:rsidP="00283B50">
      <w:r>
        <w:t xml:space="preserve">This evaluation report covers the </w:t>
      </w:r>
      <w:r w:rsidR="002C1877">
        <w:t>Access Reading programme in the academic year 2024-25.</w:t>
      </w:r>
      <w:r w:rsidR="00DC5ECD">
        <w:t xml:space="preserve"> Participants in this evaluation are those who responded to surveys, whilst enrolment data covers all </w:t>
      </w:r>
      <w:r w:rsidR="00F35FE1">
        <w:t>students eligible for Access Reading.</w:t>
      </w:r>
    </w:p>
    <w:p w14:paraId="23551521" w14:textId="541355A5" w:rsidR="00283B50" w:rsidRDefault="659338F0" w:rsidP="00176CC6">
      <w:pPr>
        <w:pStyle w:val="Heading2"/>
      </w:pPr>
      <w:bookmarkStart w:id="10" w:name="_Toc227058290"/>
      <w:r>
        <w:t>Link to Access &amp; Participation Plan (APP)</w:t>
      </w:r>
      <w:bookmarkEnd w:id="10"/>
    </w:p>
    <w:p w14:paraId="02C4201C" w14:textId="77777777" w:rsidR="00E84241" w:rsidRDefault="00E84241" w:rsidP="00283B50">
      <w:r w:rsidRPr="00E84241">
        <w:t xml:space="preserve">This activity contributes to the following APP aims: </w:t>
      </w:r>
    </w:p>
    <w:p w14:paraId="786D8D08" w14:textId="2E9C9FD3" w:rsidR="00E84241" w:rsidRDefault="00EA175A" w:rsidP="00283B50">
      <w:r w:rsidRPr="00EA175A">
        <w:t>Achieve a socio-economic mix within our student population that reflects the demographic of the year 12 and 13 population within our catchment regions (South East England, London and the South West) by 2030.</w:t>
      </w:r>
      <w:r w:rsidR="00C81EDB">
        <w:t xml:space="preserve"> </w:t>
      </w:r>
      <w:r w:rsidR="00C81EDB" w:rsidRPr="00C81EDB">
        <w:t>Reduce the gap between entrants in IMD Q1 and Q5 from 27.7pp to 10pp by 2028.</w:t>
      </w:r>
    </w:p>
    <w:p w14:paraId="56A9764B" w14:textId="416BAF19" w:rsidR="00B47814" w:rsidRDefault="0EE6303D" w:rsidP="00176CC6">
      <w:pPr>
        <w:pStyle w:val="Heading2"/>
      </w:pPr>
      <w:bookmarkStart w:id="11" w:name="_Toc227058291"/>
      <w:r>
        <w:t>Previous evaluation</w:t>
      </w:r>
      <w:bookmarkEnd w:id="11"/>
    </w:p>
    <w:p w14:paraId="3DD329F9" w14:textId="77777777" w:rsidR="00E23DD3" w:rsidRDefault="001A3A80" w:rsidP="00B47814">
      <w:r>
        <w:t xml:space="preserve">This activity was evaluated for the first time in </w:t>
      </w:r>
      <w:hyperlink r:id="rId12" w:history="1">
        <w:r w:rsidRPr="00282C84">
          <w:rPr>
            <w:rStyle w:val="Hyperlink"/>
          </w:rPr>
          <w:t>2023-24</w:t>
        </w:r>
      </w:hyperlink>
      <w:r>
        <w:t>.</w:t>
      </w:r>
      <w:r w:rsidR="00282C84">
        <w:t xml:space="preserve"> </w:t>
      </w:r>
    </w:p>
    <w:p w14:paraId="3E2C0E43" w14:textId="07EF1336" w:rsidR="00B47814" w:rsidRDefault="00282C84" w:rsidP="00B47814">
      <w:r>
        <w:t xml:space="preserve">The </w:t>
      </w:r>
      <w:r w:rsidR="005E0EF1">
        <w:t xml:space="preserve">evaluation found that the activity </w:t>
      </w:r>
      <w:r w:rsidR="00C81EDB">
        <w:t xml:space="preserve">potentially </w:t>
      </w:r>
      <w:r w:rsidR="006364DB">
        <w:t>contributed to increasing the number of IMD Q1 and Q2 students at the University of Reading, whilst acknowledging that it was not the primary driver</w:t>
      </w:r>
      <w:r w:rsidR="00E23DD3">
        <w:t xml:space="preserve"> for decision making, as many students had already placed the University of Reading as their firm choice.</w:t>
      </w:r>
    </w:p>
    <w:p w14:paraId="774CEBE2" w14:textId="697544D0" w:rsidR="00E23DD3" w:rsidRDefault="00E23DD3" w:rsidP="00C51468">
      <w:r>
        <w:t xml:space="preserve">It also found that </w:t>
      </w:r>
      <w:r w:rsidR="00C51468">
        <w:t xml:space="preserve">it succeeded in some of its primary aims to increase the sense of belonging for students looking to come to Reading and increase knowledge about HE and coming to university. However, there were significant limitations to these findings </w:t>
      </w:r>
      <w:r w:rsidR="001753FB">
        <w:t xml:space="preserve">as the evaluation methodology was Type 1 evaluation on a single survey conducted after the intervention. There was additionally no evaluation </w:t>
      </w:r>
      <w:r w:rsidR="00487903">
        <w:t>of the online provision of the intervention conducted after the in-person event.</w:t>
      </w:r>
    </w:p>
    <w:p w14:paraId="5250D6AF" w14:textId="32A31222" w:rsidR="00E23DD3" w:rsidRDefault="00487903" w:rsidP="00B47814">
      <w:r>
        <w:t>The evaluation recommended increasing numbers</w:t>
      </w:r>
      <w:r w:rsidR="007E302D">
        <w:t xml:space="preserve"> of participants and level of engagement</w:t>
      </w:r>
      <w:r>
        <w:t xml:space="preserve"> for the 2024-25 itera</w:t>
      </w:r>
      <w:r w:rsidR="007E302D">
        <w:t>tion</w:t>
      </w:r>
      <w:r>
        <w:t>, which was acted on and achieved.</w:t>
      </w:r>
      <w:r w:rsidR="00743828">
        <w:t xml:space="preserve"> It also recommended an improvement in survey data collection, which was acted on and achieved with three points of survey data collection</w:t>
      </w:r>
      <w:r w:rsidR="001D0725">
        <w:t>, including a pre-event survey.</w:t>
      </w:r>
    </w:p>
    <w:p w14:paraId="15FBD53C" w14:textId="77777777" w:rsidR="009E20C3" w:rsidRDefault="009E20C3" w:rsidP="00DD43FF"/>
    <w:p w14:paraId="4CEC2194" w14:textId="6AFCCE42" w:rsidR="00F653EB" w:rsidRDefault="55AB51F3" w:rsidP="000E1558">
      <w:pPr>
        <w:pStyle w:val="Heading1"/>
      </w:pPr>
      <w:bookmarkStart w:id="12" w:name="_Toc227058292"/>
      <w:r>
        <w:lastRenderedPageBreak/>
        <w:t>Methodology</w:t>
      </w:r>
      <w:bookmarkEnd w:id="12"/>
    </w:p>
    <w:p w14:paraId="19D1110C" w14:textId="506980D7" w:rsidR="00F653EB" w:rsidRDefault="55AB51F3" w:rsidP="00176CC6">
      <w:pPr>
        <w:pStyle w:val="Heading2"/>
      </w:pPr>
      <w:bookmarkStart w:id="13" w:name="_Toc227058293"/>
      <w:r>
        <w:t xml:space="preserve">Research </w:t>
      </w:r>
      <w:r w:rsidR="7D673F55">
        <w:t>q</w:t>
      </w:r>
      <w:r>
        <w:t>uestions</w:t>
      </w:r>
      <w:bookmarkEnd w:id="13"/>
    </w:p>
    <w:p w14:paraId="189CE75C" w14:textId="620B359E" w:rsidR="005F4B18" w:rsidRDefault="008C3DBD" w:rsidP="00F653EB">
      <w:r>
        <w:t>The evaluation questions</w:t>
      </w:r>
      <w:r w:rsidR="00893C0B">
        <w:t xml:space="preserve"> </w:t>
      </w:r>
      <w:r w:rsidR="00C81EDB">
        <w:t xml:space="preserve">are </w:t>
      </w:r>
      <w:r w:rsidR="00893C0B">
        <w:t>split by theme:</w:t>
      </w:r>
    </w:p>
    <w:p w14:paraId="6FC08A5A" w14:textId="644E48C4" w:rsidR="00893C0B" w:rsidRPr="00275AC8" w:rsidRDefault="00893C0B" w:rsidP="008C3DBD">
      <w:pPr>
        <w:rPr>
          <w:b/>
          <w:bCs/>
        </w:rPr>
      </w:pPr>
      <w:r w:rsidRPr="00275AC8">
        <w:rPr>
          <w:b/>
          <w:bCs/>
        </w:rPr>
        <w:t>Progression</w:t>
      </w:r>
      <w:r w:rsidR="00346CB4" w:rsidRPr="00275AC8">
        <w:rPr>
          <w:b/>
          <w:bCs/>
        </w:rPr>
        <w:t xml:space="preserve"> to UoR</w:t>
      </w:r>
    </w:p>
    <w:p w14:paraId="3FA6279F" w14:textId="20D03CFD" w:rsidR="008C3DBD" w:rsidRPr="008C3DBD" w:rsidRDefault="008C3DBD" w:rsidP="008C3DBD">
      <w:r w:rsidRPr="008C3DBD">
        <w:t xml:space="preserve">Does Access Reading increase the number of students from IMD Q1 enrolled </w:t>
      </w:r>
      <w:r w:rsidRPr="008C3DBD">
        <w:rPr>
          <w:b/>
          <w:bCs/>
        </w:rPr>
        <w:t xml:space="preserve">at the University of Reading </w:t>
      </w:r>
      <w:r w:rsidRPr="008C3DBD">
        <w:t>compared to eligible offer holders Access Reading who did not engage? </w:t>
      </w:r>
    </w:p>
    <w:p w14:paraId="644AD9CC" w14:textId="77777777" w:rsidR="008C3DBD" w:rsidRPr="008C3DBD" w:rsidRDefault="008C3DBD" w:rsidP="008C3DBD">
      <w:r w:rsidRPr="008C3DBD">
        <w:t>Does Access Reading increase the number of students from IMD Q1 enrolled</w:t>
      </w:r>
      <w:r w:rsidRPr="008C3DBD">
        <w:rPr>
          <w:b/>
          <w:bCs/>
        </w:rPr>
        <w:t xml:space="preserve"> in higher education</w:t>
      </w:r>
      <w:r w:rsidRPr="008C3DBD">
        <w:t xml:space="preserve"> compared to eligible offer holders Access Reading who did not engage? </w:t>
      </w:r>
    </w:p>
    <w:p w14:paraId="26925B8D" w14:textId="77777777" w:rsidR="008C3DBD" w:rsidRDefault="008C3DBD" w:rsidP="008C3DBD">
      <w:r w:rsidRPr="008C3DBD">
        <w:t> </w:t>
      </w:r>
    </w:p>
    <w:p w14:paraId="62C24315" w14:textId="4D629956" w:rsidR="00893C0B" w:rsidRPr="00275AC8" w:rsidRDefault="00893C0B" w:rsidP="008C3DBD">
      <w:pPr>
        <w:rPr>
          <w:b/>
          <w:bCs/>
        </w:rPr>
      </w:pPr>
      <w:r w:rsidRPr="00275AC8">
        <w:rPr>
          <w:b/>
          <w:bCs/>
        </w:rPr>
        <w:t xml:space="preserve">Participant </w:t>
      </w:r>
      <w:r w:rsidR="0094292B" w:rsidRPr="00275AC8">
        <w:rPr>
          <w:b/>
          <w:bCs/>
        </w:rPr>
        <w:t>self-perception</w:t>
      </w:r>
    </w:p>
    <w:p w14:paraId="57CEEE0A" w14:textId="046305BF" w:rsidR="008C3DBD" w:rsidRPr="008C3DBD" w:rsidRDefault="008C3DBD" w:rsidP="008C3DBD">
      <w:r w:rsidRPr="008C3DBD">
        <w:t xml:space="preserve">Do participants </w:t>
      </w:r>
      <w:r w:rsidR="003E0E72">
        <w:t>report</w:t>
      </w:r>
      <w:r w:rsidR="003E0E72" w:rsidRPr="008C3DBD">
        <w:t xml:space="preserve"> </w:t>
      </w:r>
      <w:r w:rsidRPr="008C3DBD">
        <w:t>an increase</w:t>
      </w:r>
      <w:r w:rsidR="003E0E72">
        <w:t xml:space="preserve"> in</w:t>
      </w:r>
      <w:r w:rsidRPr="008C3DBD">
        <w:t xml:space="preserve"> sense of belonging in higher education?  </w:t>
      </w:r>
    </w:p>
    <w:p w14:paraId="388EC9DA" w14:textId="77777777" w:rsidR="008C3DBD" w:rsidRPr="008C3DBD" w:rsidRDefault="008C3DBD" w:rsidP="008C3DBD">
      <w:r w:rsidRPr="008C3DBD">
        <w:t>Are participants more likely to see themselves as part of the University of Reading community having participated in the programme? </w:t>
      </w:r>
    </w:p>
    <w:p w14:paraId="06C7C215" w14:textId="67055261" w:rsidR="008C3DBD" w:rsidRPr="008C3DBD" w:rsidRDefault="008C3DBD" w:rsidP="008C3DBD">
      <w:r w:rsidRPr="008C3DBD">
        <w:t xml:space="preserve">Do participants </w:t>
      </w:r>
      <w:r w:rsidR="003E0E72">
        <w:t>report</w:t>
      </w:r>
      <w:r w:rsidR="003E0E72" w:rsidRPr="008C3DBD">
        <w:t xml:space="preserve"> </w:t>
      </w:r>
      <w:r w:rsidR="003E0E72">
        <w:t>an</w:t>
      </w:r>
      <w:r w:rsidR="003E0E72" w:rsidRPr="008C3DBD">
        <w:t xml:space="preserve"> </w:t>
      </w:r>
      <w:r w:rsidRPr="008C3DBD">
        <w:t>increase</w:t>
      </w:r>
      <w:r w:rsidR="003E0E72">
        <w:t xml:space="preserve"> in</w:t>
      </w:r>
      <w:r w:rsidRPr="008C3DBD">
        <w:t xml:space="preserve"> knowledge about higher education? </w:t>
      </w:r>
    </w:p>
    <w:p w14:paraId="386D51C2" w14:textId="1D56A0AA" w:rsidR="008C3DBD" w:rsidRPr="008C3DBD" w:rsidRDefault="008C3DBD" w:rsidP="008C3DBD">
      <w:r w:rsidRPr="008C3DBD">
        <w:t xml:space="preserve">Do participants </w:t>
      </w:r>
      <w:r w:rsidR="003E0E72">
        <w:t>report</w:t>
      </w:r>
      <w:r w:rsidR="003E0E72" w:rsidRPr="008C3DBD">
        <w:t xml:space="preserve"> </w:t>
      </w:r>
      <w:r w:rsidRPr="008C3DBD">
        <w:t>reduced levels of concern about progressing to higher education? </w:t>
      </w:r>
    </w:p>
    <w:p w14:paraId="54E646CF" w14:textId="77777777" w:rsidR="008C3DBD" w:rsidRPr="008C3DBD" w:rsidRDefault="008C3DBD" w:rsidP="008C3DBD">
      <w:r w:rsidRPr="008C3DBD">
        <w:t> </w:t>
      </w:r>
    </w:p>
    <w:p w14:paraId="708E8257" w14:textId="2CFD5474" w:rsidR="00F653EB" w:rsidRDefault="55AB51F3" w:rsidP="00176CC6">
      <w:pPr>
        <w:pStyle w:val="Heading2"/>
      </w:pPr>
      <w:bookmarkStart w:id="14" w:name="_Toc227058294"/>
      <w:r>
        <w:t>Participants</w:t>
      </w:r>
      <w:bookmarkEnd w:id="14"/>
    </w:p>
    <w:p w14:paraId="19658BB8" w14:textId="523C8B24" w:rsidR="00E4189B" w:rsidRDefault="00703F34" w:rsidP="006D16F7">
      <w:pPr>
        <w:rPr>
          <w:b/>
          <w:bCs/>
        </w:rPr>
      </w:pPr>
      <w:r>
        <w:rPr>
          <w:b/>
          <w:bCs/>
        </w:rPr>
        <w:t>Eligibility</w:t>
      </w:r>
    </w:p>
    <w:p w14:paraId="22A49A82" w14:textId="77777777" w:rsidR="00703F34" w:rsidRDefault="00703F34" w:rsidP="006D16F7">
      <w:r w:rsidRPr="00703F34">
        <w:t xml:space="preserve">Post “UCAS Equal Consideration Deadline”, specific applicants receive targeted communications to encourage them to apply for Access Reading 2024. </w:t>
      </w:r>
    </w:p>
    <w:p w14:paraId="5F1F2295" w14:textId="77777777" w:rsidR="00703F34" w:rsidRDefault="00703F34" w:rsidP="006D16F7">
      <w:r w:rsidRPr="00703F34">
        <w:t xml:space="preserve">Participants had to meet the following criteria: </w:t>
      </w:r>
    </w:p>
    <w:p w14:paraId="220EC8DB" w14:textId="77777777" w:rsidR="00266D61" w:rsidRDefault="00703F34" w:rsidP="00654B8F">
      <w:pPr>
        <w:pStyle w:val="ListParagraph"/>
        <w:numPr>
          <w:ilvl w:val="0"/>
          <w:numId w:val="13"/>
        </w:numPr>
      </w:pPr>
      <w:r w:rsidRPr="00703F34">
        <w:t xml:space="preserve">Applied to the University of Reading as well as: </w:t>
      </w:r>
    </w:p>
    <w:p w14:paraId="6CB7D086" w14:textId="77777777" w:rsidR="00266D61" w:rsidRDefault="00703F34" w:rsidP="00654B8F">
      <w:pPr>
        <w:pStyle w:val="ListParagraph"/>
        <w:numPr>
          <w:ilvl w:val="1"/>
          <w:numId w:val="13"/>
        </w:numPr>
      </w:pPr>
      <w:r w:rsidRPr="00703F34">
        <w:t>reside in England or Wales</w:t>
      </w:r>
    </w:p>
    <w:p w14:paraId="62BA9BF4" w14:textId="1D418421" w:rsidR="00703F34" w:rsidRDefault="00703F34" w:rsidP="00654B8F">
      <w:pPr>
        <w:pStyle w:val="ListParagraph"/>
        <w:numPr>
          <w:ilvl w:val="1"/>
          <w:numId w:val="13"/>
        </w:numPr>
      </w:pPr>
      <w:r w:rsidRPr="00703F34">
        <w:t>and have minimum grade predictions of 3 Cs (A-levels) or 3 Merits (BTEC) or equivalent</w:t>
      </w:r>
    </w:p>
    <w:p w14:paraId="1BAEEB1E" w14:textId="77777777" w:rsidR="00266D61" w:rsidRDefault="00703F34" w:rsidP="001A4CBC">
      <w:r w:rsidRPr="00703F34">
        <w:t xml:space="preserve">And had: </w:t>
      </w:r>
    </w:p>
    <w:p w14:paraId="0CFE0D25" w14:textId="1323C9D5" w:rsidR="001A4CBC" w:rsidRDefault="00266D61" w:rsidP="00654B8F">
      <w:pPr>
        <w:pStyle w:val="ListParagraph"/>
        <w:numPr>
          <w:ilvl w:val="0"/>
          <w:numId w:val="13"/>
        </w:numPr>
      </w:pPr>
      <w:hyperlink r:id="rId13" w:anchor=":~:text=What%20is%20the%20contextual%20offer,programme%20you%20are%20applying%20for." w:history="1">
        <w:r>
          <w:rPr>
            <w:rStyle w:val="Hyperlink"/>
          </w:rPr>
          <w:t>A</w:t>
        </w:r>
        <w:r w:rsidR="00703F34" w:rsidRPr="00266D61">
          <w:rPr>
            <w:rStyle w:val="Hyperlink"/>
          </w:rPr>
          <w:t xml:space="preserve"> </w:t>
        </w:r>
        <w:r w:rsidR="001A4CBC" w:rsidRPr="00266D61">
          <w:rPr>
            <w:rStyle w:val="Hyperlink"/>
          </w:rPr>
          <w:t>contextual offer</w:t>
        </w:r>
      </w:hyperlink>
      <w:r w:rsidR="001A4CBC">
        <w:t xml:space="preserve"> from the University of Reading</w:t>
      </w:r>
      <w:r w:rsidR="00703F34" w:rsidRPr="00703F34">
        <w:t>.</w:t>
      </w:r>
    </w:p>
    <w:p w14:paraId="0CE21EB8" w14:textId="77777777" w:rsidR="006970BF" w:rsidRDefault="006970BF" w:rsidP="006970BF">
      <w:pPr>
        <w:pStyle w:val="ListParagraph"/>
        <w:numPr>
          <w:ilvl w:val="0"/>
          <w:numId w:val="0"/>
        </w:numPr>
        <w:ind w:left="720"/>
      </w:pPr>
    </w:p>
    <w:p w14:paraId="2E7C0B2D" w14:textId="77777777" w:rsidR="0013226B" w:rsidRDefault="00703F34" w:rsidP="001A4CBC">
      <w:r w:rsidRPr="00703F34">
        <w:t xml:space="preserve">These participants include any applicants in IMD Q1. Although the scheme is not limited to these participants, all IMD Q1 applicants would be able to attend Access Reading if they applied in time. Therefore, although the programme doesn’t target IMD Q1 students </w:t>
      </w:r>
      <w:r w:rsidRPr="00703F34">
        <w:lastRenderedPageBreak/>
        <w:t xml:space="preserve">exclusively, these students will benefit from Access Reading, so it contributes to closing the access gap. </w:t>
      </w:r>
    </w:p>
    <w:p w14:paraId="219F55DA" w14:textId="20426727" w:rsidR="00703F34" w:rsidRPr="00703F34" w:rsidRDefault="00703F34" w:rsidP="001A4CBC">
      <w:r w:rsidRPr="00703F34">
        <w:t>As applicants made decisions about their university choices, they may drop off the programme. Only applicants who held the University of Reading as firm or were still undecided would continue to be offered activity and email comms. Applicants who put us as their insurance choice or declined our offer dropped off.</w:t>
      </w:r>
    </w:p>
    <w:p w14:paraId="106F23DB" w14:textId="77777777" w:rsidR="00E4189B" w:rsidRDefault="00E4189B" w:rsidP="006D16F7"/>
    <w:p w14:paraId="1FB95B78" w14:textId="32138D88" w:rsidR="0013226B" w:rsidRPr="0013226B" w:rsidRDefault="0013226B" w:rsidP="006D16F7">
      <w:pPr>
        <w:rPr>
          <w:b/>
          <w:bCs/>
        </w:rPr>
      </w:pPr>
      <w:r>
        <w:rPr>
          <w:b/>
          <w:bCs/>
        </w:rPr>
        <w:t>Participation</w:t>
      </w:r>
    </w:p>
    <w:p w14:paraId="1A04693D" w14:textId="5FC58A22" w:rsidR="0013226B" w:rsidRPr="001254E7" w:rsidRDefault="006D16F7" w:rsidP="001254E7">
      <w:r>
        <w:t>The programme significantly increased participation from preceding years.</w:t>
      </w:r>
      <w:r w:rsidR="001254E7">
        <w:t xml:space="preserve"> </w:t>
      </w:r>
      <w:r w:rsidR="00DA4D71" w:rsidRPr="001254E7">
        <w:rPr>
          <w:szCs w:val="24"/>
        </w:rPr>
        <w:t>5742 </w:t>
      </w:r>
      <w:r w:rsidR="001254E7" w:rsidRPr="001254E7">
        <w:rPr>
          <w:szCs w:val="24"/>
        </w:rPr>
        <w:t>eligible offer holders were contacted</w:t>
      </w:r>
      <w:r w:rsidR="001254E7">
        <w:rPr>
          <w:szCs w:val="24"/>
        </w:rPr>
        <w:t>.</w:t>
      </w:r>
    </w:p>
    <w:p w14:paraId="0D85B7C8" w14:textId="3B828A67" w:rsidR="006D16F7" w:rsidRPr="001254E7" w:rsidRDefault="006D16F7" w:rsidP="00654B8F">
      <w:pPr>
        <w:pStyle w:val="ListParagraph"/>
        <w:numPr>
          <w:ilvl w:val="0"/>
          <w:numId w:val="13"/>
        </w:numPr>
        <w:rPr>
          <w:szCs w:val="24"/>
        </w:rPr>
      </w:pPr>
      <w:r>
        <w:t>371 offer holders signed up to become participants and were given access to engage with the programme.</w:t>
      </w:r>
    </w:p>
    <w:p w14:paraId="5DE831EC" w14:textId="77777777" w:rsidR="006D16F7" w:rsidRPr="001254E7" w:rsidRDefault="006D16F7" w:rsidP="00654B8F">
      <w:pPr>
        <w:pStyle w:val="ListParagraph"/>
        <w:numPr>
          <w:ilvl w:val="0"/>
          <w:numId w:val="13"/>
        </w:numPr>
        <w:rPr>
          <w:szCs w:val="24"/>
        </w:rPr>
      </w:pPr>
      <w:r>
        <w:t>264 wanted to attend the in-person day. Due to room capacity, a waiting list was created after 220 requests.</w:t>
      </w:r>
    </w:p>
    <w:p w14:paraId="2FD00267" w14:textId="77777777" w:rsidR="006D16F7" w:rsidRPr="001254E7" w:rsidRDefault="006D16F7" w:rsidP="00654B8F">
      <w:pPr>
        <w:pStyle w:val="ListParagraph"/>
        <w:numPr>
          <w:ilvl w:val="0"/>
          <w:numId w:val="13"/>
        </w:numPr>
        <w:rPr>
          <w:szCs w:val="24"/>
        </w:rPr>
      </w:pPr>
      <w:r>
        <w:t>This resulted in 145 participants attending the in-person event.</w:t>
      </w:r>
    </w:p>
    <w:p w14:paraId="59F8F0D3" w14:textId="77777777" w:rsidR="006D16F7" w:rsidRPr="001254E7" w:rsidRDefault="006D16F7" w:rsidP="00654B8F">
      <w:pPr>
        <w:pStyle w:val="ListParagraph"/>
        <w:numPr>
          <w:ilvl w:val="0"/>
          <w:numId w:val="13"/>
        </w:numPr>
        <w:rPr>
          <w:szCs w:val="24"/>
        </w:rPr>
      </w:pPr>
      <w:r>
        <w:t xml:space="preserve">237 offer holders joined the Access Reading </w:t>
      </w:r>
      <w:proofErr w:type="spellStart"/>
      <w:r>
        <w:t>Unibuddy</w:t>
      </w:r>
      <w:proofErr w:type="spellEnd"/>
      <w:r>
        <w:t xml:space="preserve"> site.</w:t>
      </w:r>
    </w:p>
    <w:p w14:paraId="3E3BAC77" w14:textId="77777777" w:rsidR="006D16F7" w:rsidRPr="001254E7" w:rsidRDefault="006D16F7" w:rsidP="001254E7">
      <w:pPr>
        <w:rPr>
          <w:szCs w:val="24"/>
        </w:rPr>
      </w:pPr>
      <w:r>
        <w:t>Following the reply-deadline of June 5</w:t>
      </w:r>
      <w:r w:rsidRPr="001254E7">
        <w:rPr>
          <w:vertAlign w:val="superscript"/>
        </w:rPr>
        <w:t>th</w:t>
      </w:r>
      <w:r>
        <w:t xml:space="preserve">, 143 offer holders were continuing with the University of Reading and were able to engage with email communications and </w:t>
      </w:r>
      <w:proofErr w:type="spellStart"/>
      <w:r>
        <w:t>Unibuddy</w:t>
      </w:r>
      <w:proofErr w:type="spellEnd"/>
      <w:r>
        <w:t xml:space="preserve"> support.</w:t>
      </w:r>
    </w:p>
    <w:p w14:paraId="4E840B80" w14:textId="0406719B" w:rsidR="00880229" w:rsidRDefault="4AEB30DB">
      <w:r>
        <w:t xml:space="preserve">37 of the participants were in our main target group of IMD Q1 students. The participants and their eligibility for a contextual offer is listed in the table below. Please note that this data was gathered by comparing the </w:t>
      </w:r>
      <w:r w:rsidR="407FD63B">
        <w:t>sign-up</w:t>
      </w:r>
      <w:r>
        <w:t xml:space="preserve"> f</w:t>
      </w:r>
      <w:r w:rsidR="58B3B815">
        <w:t>orm to admissions data, so if a participant signed up to the programme using a different email address to their admissions data, then they would not have been recognised. Additionally, some participants may fall into more than one category, for example if an IMD Q1 student also had a disabilit</w:t>
      </w:r>
      <w:r w:rsidR="5F05FED4">
        <w:t>y. In these cases, both eligibility criteria have been tallied in the table.</w:t>
      </w:r>
    </w:p>
    <w:p w14:paraId="4EDB8153" w14:textId="77777777" w:rsidR="00880229" w:rsidRDefault="00880229"/>
    <w:p w14:paraId="5AF04A7A" w14:textId="05702E8F" w:rsidR="00D465D2" w:rsidRDefault="00D465D2">
      <w:r>
        <w:t>Table</w:t>
      </w:r>
      <w:r w:rsidR="00A55155">
        <w:t xml:space="preserve"> 1</w:t>
      </w:r>
      <w:r>
        <w:t xml:space="preserve">: </w:t>
      </w:r>
      <w:r w:rsidR="0080072D">
        <w:t>Characteristics of Access Reading Participants 2024/25</w:t>
      </w:r>
    </w:p>
    <w:tbl>
      <w:tblPr>
        <w:tblStyle w:val="TableGrid"/>
        <w:tblW w:w="0" w:type="auto"/>
        <w:tblLayout w:type="fixed"/>
        <w:tblLook w:val="04A0" w:firstRow="1" w:lastRow="0" w:firstColumn="1" w:lastColumn="0" w:noHBand="0" w:noVBand="1"/>
      </w:tblPr>
      <w:tblGrid>
        <w:gridCol w:w="810"/>
        <w:gridCol w:w="809"/>
        <w:gridCol w:w="983"/>
        <w:gridCol w:w="983"/>
        <w:gridCol w:w="1027"/>
        <w:gridCol w:w="1102"/>
        <w:gridCol w:w="1057"/>
        <w:gridCol w:w="720"/>
        <w:gridCol w:w="658"/>
        <w:gridCol w:w="664"/>
        <w:gridCol w:w="654"/>
      </w:tblGrid>
      <w:tr w:rsidR="05539986" w14:paraId="7BE542EF" w14:textId="77777777" w:rsidTr="05539986">
        <w:trPr>
          <w:trHeight w:val="300"/>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45F47A8E" w14:textId="0055D99F" w:rsidR="05539986" w:rsidRDefault="05539986" w:rsidP="00452193">
            <w:pPr>
              <w:spacing w:before="0"/>
              <w:rPr>
                <w:rFonts w:ascii="Aptos" w:eastAsia="Aptos" w:hAnsi="Aptos" w:cs="Aptos"/>
                <w:szCs w:val="24"/>
              </w:rPr>
            </w:pPr>
            <w:r w:rsidRPr="05539986">
              <w:rPr>
                <w:rFonts w:ascii="Aptos" w:eastAsia="Aptos" w:hAnsi="Aptos" w:cs="Aptos"/>
                <w:szCs w:val="24"/>
              </w:rPr>
              <w:t>IMD Q1</w:t>
            </w:r>
          </w:p>
        </w:tc>
        <w:tc>
          <w:tcPr>
            <w:tcW w:w="809" w:type="dxa"/>
            <w:tcBorders>
              <w:top w:val="single" w:sz="8" w:space="0" w:color="auto"/>
              <w:left w:val="single" w:sz="8" w:space="0" w:color="auto"/>
              <w:bottom w:val="single" w:sz="8" w:space="0" w:color="auto"/>
              <w:right w:val="single" w:sz="8" w:space="0" w:color="auto"/>
            </w:tcBorders>
            <w:tcMar>
              <w:left w:w="108" w:type="dxa"/>
              <w:right w:w="108" w:type="dxa"/>
            </w:tcMar>
          </w:tcPr>
          <w:p w14:paraId="2F02FC90" w14:textId="18025125" w:rsidR="05539986" w:rsidRDefault="05539986" w:rsidP="00452193">
            <w:pPr>
              <w:spacing w:before="0"/>
              <w:rPr>
                <w:rFonts w:ascii="Aptos" w:eastAsia="Aptos" w:hAnsi="Aptos" w:cs="Aptos"/>
                <w:szCs w:val="24"/>
              </w:rPr>
            </w:pPr>
            <w:r w:rsidRPr="05539986">
              <w:rPr>
                <w:rFonts w:ascii="Aptos" w:eastAsia="Aptos" w:hAnsi="Aptos" w:cs="Aptos"/>
                <w:szCs w:val="24"/>
              </w:rPr>
              <w:t>IMD Q2</w:t>
            </w:r>
          </w:p>
        </w:tc>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117D7685" w14:textId="61501931" w:rsidR="05539986" w:rsidRDefault="05539986" w:rsidP="00452193">
            <w:pPr>
              <w:spacing w:before="0"/>
              <w:rPr>
                <w:rFonts w:ascii="Aptos" w:eastAsia="Aptos" w:hAnsi="Aptos" w:cs="Aptos"/>
                <w:szCs w:val="24"/>
              </w:rPr>
            </w:pPr>
            <w:r w:rsidRPr="05539986">
              <w:rPr>
                <w:rFonts w:ascii="Aptos" w:eastAsia="Aptos" w:hAnsi="Aptos" w:cs="Aptos"/>
                <w:szCs w:val="24"/>
              </w:rPr>
              <w:t>POLAR4 Q1</w:t>
            </w:r>
          </w:p>
        </w:tc>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1DC1A3D4" w14:textId="1FD56906" w:rsidR="05539986" w:rsidRDefault="05539986" w:rsidP="00452193">
            <w:pPr>
              <w:spacing w:before="0"/>
              <w:rPr>
                <w:rFonts w:ascii="Aptos" w:eastAsia="Aptos" w:hAnsi="Aptos" w:cs="Aptos"/>
                <w:szCs w:val="24"/>
              </w:rPr>
            </w:pPr>
            <w:r w:rsidRPr="05539986">
              <w:rPr>
                <w:rFonts w:ascii="Aptos" w:eastAsia="Aptos" w:hAnsi="Aptos" w:cs="Aptos"/>
                <w:szCs w:val="24"/>
              </w:rPr>
              <w:t>POLAR4 Q2</w:t>
            </w:r>
          </w:p>
        </w:tc>
        <w:tc>
          <w:tcPr>
            <w:tcW w:w="1027" w:type="dxa"/>
            <w:tcBorders>
              <w:top w:val="single" w:sz="8" w:space="0" w:color="auto"/>
              <w:left w:val="single" w:sz="8" w:space="0" w:color="auto"/>
              <w:bottom w:val="single" w:sz="8" w:space="0" w:color="auto"/>
              <w:right w:val="single" w:sz="8" w:space="0" w:color="auto"/>
            </w:tcBorders>
            <w:tcMar>
              <w:left w:w="108" w:type="dxa"/>
              <w:right w:w="108" w:type="dxa"/>
            </w:tcMar>
          </w:tcPr>
          <w:p w14:paraId="07393F85" w14:textId="6BD5CF6E" w:rsidR="05539986" w:rsidRDefault="05539986" w:rsidP="00452193">
            <w:pPr>
              <w:spacing w:before="0"/>
              <w:rPr>
                <w:rFonts w:ascii="Aptos" w:eastAsia="Aptos" w:hAnsi="Aptos" w:cs="Aptos"/>
                <w:szCs w:val="24"/>
              </w:rPr>
            </w:pPr>
            <w:r w:rsidRPr="05539986">
              <w:rPr>
                <w:rFonts w:ascii="Aptos" w:eastAsia="Aptos" w:hAnsi="Aptos" w:cs="Aptos"/>
                <w:szCs w:val="24"/>
              </w:rPr>
              <w:t>Disability</w:t>
            </w:r>
          </w:p>
        </w:tc>
        <w:tc>
          <w:tcPr>
            <w:tcW w:w="1102" w:type="dxa"/>
            <w:tcBorders>
              <w:top w:val="single" w:sz="8" w:space="0" w:color="auto"/>
              <w:left w:val="single" w:sz="8" w:space="0" w:color="auto"/>
              <w:bottom w:val="single" w:sz="8" w:space="0" w:color="auto"/>
              <w:right w:val="single" w:sz="8" w:space="0" w:color="auto"/>
            </w:tcBorders>
            <w:tcMar>
              <w:left w:w="108" w:type="dxa"/>
              <w:right w:w="108" w:type="dxa"/>
            </w:tcMar>
          </w:tcPr>
          <w:p w14:paraId="6F9C0FEB" w14:textId="06F21F58" w:rsidR="05539986" w:rsidRDefault="05539986" w:rsidP="00452193">
            <w:pPr>
              <w:spacing w:before="0"/>
              <w:rPr>
                <w:rFonts w:ascii="Aptos" w:eastAsia="Aptos" w:hAnsi="Aptos" w:cs="Aptos"/>
                <w:szCs w:val="24"/>
              </w:rPr>
            </w:pPr>
            <w:r w:rsidRPr="05539986">
              <w:rPr>
                <w:rFonts w:ascii="Aptos" w:eastAsia="Aptos" w:hAnsi="Aptos" w:cs="Aptos"/>
                <w:szCs w:val="24"/>
              </w:rPr>
              <w:t>Care Experience</w:t>
            </w:r>
          </w:p>
        </w:tc>
        <w:tc>
          <w:tcPr>
            <w:tcW w:w="1057" w:type="dxa"/>
            <w:tcBorders>
              <w:top w:val="single" w:sz="8" w:space="0" w:color="auto"/>
              <w:left w:val="single" w:sz="8" w:space="0" w:color="auto"/>
              <w:bottom w:val="single" w:sz="8" w:space="0" w:color="auto"/>
              <w:right w:val="single" w:sz="8" w:space="0" w:color="auto"/>
            </w:tcBorders>
            <w:tcMar>
              <w:left w:w="108" w:type="dxa"/>
              <w:right w:w="108" w:type="dxa"/>
            </w:tcMar>
          </w:tcPr>
          <w:p w14:paraId="656AFAB1" w14:textId="0DCA3CE0" w:rsidR="05539986" w:rsidRDefault="05539986" w:rsidP="00452193">
            <w:pPr>
              <w:spacing w:before="0"/>
              <w:rPr>
                <w:rFonts w:ascii="Aptos" w:eastAsia="Aptos" w:hAnsi="Aptos" w:cs="Aptos"/>
                <w:szCs w:val="24"/>
              </w:rPr>
            </w:pPr>
            <w:r w:rsidRPr="05539986">
              <w:rPr>
                <w:rFonts w:ascii="Aptos" w:eastAsia="Aptos" w:hAnsi="Aptos" w:cs="Aptos"/>
                <w:szCs w:val="24"/>
              </w:rPr>
              <w:t>Estranged</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2BF53231" w14:textId="6AFF71CB" w:rsidR="05539986" w:rsidRDefault="05539986" w:rsidP="00452193">
            <w:pPr>
              <w:spacing w:before="0"/>
              <w:rPr>
                <w:rFonts w:ascii="Aptos" w:eastAsia="Aptos" w:hAnsi="Aptos" w:cs="Aptos"/>
                <w:szCs w:val="24"/>
              </w:rPr>
            </w:pPr>
            <w:r w:rsidRPr="05539986">
              <w:rPr>
                <w:rFonts w:ascii="Aptos" w:eastAsia="Aptos" w:hAnsi="Aptos" w:cs="Aptos"/>
                <w:szCs w:val="24"/>
              </w:rPr>
              <w:t>Refugee</w:t>
            </w:r>
          </w:p>
        </w:tc>
        <w:tc>
          <w:tcPr>
            <w:tcW w:w="658" w:type="dxa"/>
            <w:tcBorders>
              <w:top w:val="single" w:sz="8" w:space="0" w:color="auto"/>
              <w:left w:val="single" w:sz="8" w:space="0" w:color="auto"/>
              <w:bottom w:val="single" w:sz="8" w:space="0" w:color="auto"/>
              <w:right w:val="single" w:sz="8" w:space="0" w:color="auto"/>
            </w:tcBorders>
            <w:tcMar>
              <w:left w:w="108" w:type="dxa"/>
              <w:right w:w="108" w:type="dxa"/>
            </w:tcMar>
          </w:tcPr>
          <w:p w14:paraId="35D40A50" w14:textId="63900E7D" w:rsidR="05539986" w:rsidRDefault="05539986" w:rsidP="00452193">
            <w:pPr>
              <w:spacing w:before="0"/>
              <w:rPr>
                <w:rFonts w:ascii="Aptos" w:eastAsia="Aptos" w:hAnsi="Aptos" w:cs="Aptos"/>
                <w:szCs w:val="24"/>
              </w:rPr>
            </w:pPr>
            <w:r w:rsidRPr="05539986">
              <w:rPr>
                <w:rFonts w:ascii="Aptos" w:eastAsia="Aptos" w:hAnsi="Aptos" w:cs="Aptos"/>
                <w:szCs w:val="24"/>
              </w:rPr>
              <w:t>Young Carer</w:t>
            </w:r>
          </w:p>
        </w:tc>
        <w:tc>
          <w:tcPr>
            <w:tcW w:w="664" w:type="dxa"/>
            <w:tcBorders>
              <w:top w:val="single" w:sz="8" w:space="0" w:color="auto"/>
              <w:left w:val="single" w:sz="8" w:space="0" w:color="auto"/>
              <w:bottom w:val="single" w:sz="8" w:space="0" w:color="auto"/>
              <w:right w:val="single" w:sz="8" w:space="0" w:color="auto"/>
            </w:tcBorders>
            <w:tcMar>
              <w:left w:w="108" w:type="dxa"/>
              <w:right w:w="108" w:type="dxa"/>
            </w:tcMar>
          </w:tcPr>
          <w:p w14:paraId="6A565217" w14:textId="38E6A791" w:rsidR="05539986" w:rsidRDefault="05539986" w:rsidP="00452193">
            <w:pPr>
              <w:spacing w:before="0"/>
              <w:rPr>
                <w:rFonts w:ascii="Aptos" w:eastAsia="Aptos" w:hAnsi="Aptos" w:cs="Aptos"/>
                <w:szCs w:val="24"/>
              </w:rPr>
            </w:pPr>
            <w:r w:rsidRPr="05539986">
              <w:rPr>
                <w:rFonts w:ascii="Aptos" w:eastAsia="Aptos" w:hAnsi="Aptos" w:cs="Aptos"/>
                <w:szCs w:val="24"/>
              </w:rPr>
              <w:t>Military Family</w:t>
            </w:r>
          </w:p>
        </w:tc>
        <w:tc>
          <w:tcPr>
            <w:tcW w:w="654" w:type="dxa"/>
            <w:tcBorders>
              <w:top w:val="single" w:sz="8" w:space="0" w:color="auto"/>
              <w:left w:val="single" w:sz="8" w:space="0" w:color="auto"/>
              <w:bottom w:val="single" w:sz="8" w:space="0" w:color="auto"/>
              <w:right w:val="single" w:sz="8" w:space="0" w:color="auto"/>
            </w:tcBorders>
            <w:tcMar>
              <w:left w:w="108" w:type="dxa"/>
              <w:right w:w="108" w:type="dxa"/>
            </w:tcMar>
          </w:tcPr>
          <w:p w14:paraId="0706D3E0" w14:textId="782D9B4E" w:rsidR="05539986" w:rsidRDefault="05539986" w:rsidP="00452193">
            <w:pPr>
              <w:spacing w:before="0"/>
              <w:rPr>
                <w:rFonts w:ascii="Aptos" w:eastAsia="Aptos" w:hAnsi="Aptos" w:cs="Aptos"/>
                <w:szCs w:val="24"/>
              </w:rPr>
            </w:pPr>
            <w:r w:rsidRPr="05539986">
              <w:rPr>
                <w:rFonts w:ascii="Aptos" w:eastAsia="Aptos" w:hAnsi="Aptos" w:cs="Aptos"/>
                <w:szCs w:val="24"/>
              </w:rPr>
              <w:t>RSS</w:t>
            </w:r>
          </w:p>
        </w:tc>
      </w:tr>
      <w:tr w:rsidR="05539986" w14:paraId="54B1556D" w14:textId="77777777" w:rsidTr="05539986">
        <w:trPr>
          <w:trHeight w:val="300"/>
        </w:trPr>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00F7DDF0" w14:textId="78925C31" w:rsidR="05539986" w:rsidRDefault="05539986" w:rsidP="00452193">
            <w:pPr>
              <w:spacing w:before="0"/>
              <w:rPr>
                <w:rFonts w:ascii="Aptos" w:eastAsia="Aptos" w:hAnsi="Aptos" w:cs="Aptos"/>
                <w:szCs w:val="24"/>
              </w:rPr>
            </w:pPr>
            <w:r w:rsidRPr="05539986">
              <w:rPr>
                <w:rFonts w:ascii="Aptos" w:eastAsia="Aptos" w:hAnsi="Aptos" w:cs="Aptos"/>
                <w:szCs w:val="24"/>
              </w:rPr>
              <w:t>37</w:t>
            </w:r>
          </w:p>
        </w:tc>
        <w:tc>
          <w:tcPr>
            <w:tcW w:w="809" w:type="dxa"/>
            <w:tcBorders>
              <w:top w:val="single" w:sz="8" w:space="0" w:color="auto"/>
              <w:left w:val="single" w:sz="8" w:space="0" w:color="auto"/>
              <w:bottom w:val="single" w:sz="8" w:space="0" w:color="auto"/>
              <w:right w:val="single" w:sz="8" w:space="0" w:color="auto"/>
            </w:tcBorders>
            <w:tcMar>
              <w:left w:w="108" w:type="dxa"/>
              <w:right w:w="108" w:type="dxa"/>
            </w:tcMar>
          </w:tcPr>
          <w:p w14:paraId="4FC26F2F" w14:textId="58F5AF80" w:rsidR="05539986" w:rsidRDefault="05539986" w:rsidP="00452193">
            <w:pPr>
              <w:spacing w:before="0"/>
              <w:rPr>
                <w:rFonts w:ascii="Aptos" w:eastAsia="Aptos" w:hAnsi="Aptos" w:cs="Aptos"/>
                <w:szCs w:val="24"/>
              </w:rPr>
            </w:pPr>
            <w:r w:rsidRPr="05539986">
              <w:rPr>
                <w:rFonts w:ascii="Aptos" w:eastAsia="Aptos" w:hAnsi="Aptos" w:cs="Aptos"/>
                <w:szCs w:val="24"/>
              </w:rPr>
              <w:t>97</w:t>
            </w:r>
          </w:p>
        </w:tc>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634DCC70" w14:textId="3E4C3341" w:rsidR="05539986" w:rsidRDefault="05539986" w:rsidP="00452193">
            <w:pPr>
              <w:spacing w:before="0"/>
              <w:rPr>
                <w:rFonts w:ascii="Aptos" w:eastAsia="Aptos" w:hAnsi="Aptos" w:cs="Aptos"/>
                <w:szCs w:val="24"/>
              </w:rPr>
            </w:pPr>
            <w:r w:rsidRPr="05539986">
              <w:rPr>
                <w:rFonts w:ascii="Aptos" w:eastAsia="Aptos" w:hAnsi="Aptos" w:cs="Aptos"/>
                <w:szCs w:val="24"/>
              </w:rPr>
              <w:t>51</w:t>
            </w:r>
          </w:p>
        </w:tc>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47047503" w14:textId="0EE1964C" w:rsidR="05539986" w:rsidRDefault="05539986" w:rsidP="00452193">
            <w:pPr>
              <w:spacing w:before="0"/>
              <w:rPr>
                <w:rFonts w:ascii="Aptos" w:eastAsia="Aptos" w:hAnsi="Aptos" w:cs="Aptos"/>
                <w:szCs w:val="24"/>
              </w:rPr>
            </w:pPr>
            <w:r w:rsidRPr="05539986">
              <w:rPr>
                <w:rFonts w:ascii="Aptos" w:eastAsia="Aptos" w:hAnsi="Aptos" w:cs="Aptos"/>
                <w:szCs w:val="24"/>
              </w:rPr>
              <w:t>67</w:t>
            </w:r>
          </w:p>
        </w:tc>
        <w:tc>
          <w:tcPr>
            <w:tcW w:w="1027" w:type="dxa"/>
            <w:tcBorders>
              <w:top w:val="single" w:sz="8" w:space="0" w:color="auto"/>
              <w:left w:val="single" w:sz="8" w:space="0" w:color="auto"/>
              <w:bottom w:val="single" w:sz="8" w:space="0" w:color="auto"/>
              <w:right w:val="single" w:sz="8" w:space="0" w:color="auto"/>
            </w:tcBorders>
            <w:tcMar>
              <w:left w:w="108" w:type="dxa"/>
              <w:right w:w="108" w:type="dxa"/>
            </w:tcMar>
          </w:tcPr>
          <w:p w14:paraId="2893380C" w14:textId="2A8D3E60" w:rsidR="05539986" w:rsidRDefault="05539986" w:rsidP="00452193">
            <w:pPr>
              <w:spacing w:before="0"/>
              <w:rPr>
                <w:rFonts w:ascii="Aptos" w:eastAsia="Aptos" w:hAnsi="Aptos" w:cs="Aptos"/>
                <w:szCs w:val="24"/>
              </w:rPr>
            </w:pPr>
            <w:r w:rsidRPr="05539986">
              <w:rPr>
                <w:rFonts w:ascii="Aptos" w:eastAsia="Aptos" w:hAnsi="Aptos" w:cs="Aptos"/>
                <w:szCs w:val="24"/>
              </w:rPr>
              <w:t>189</w:t>
            </w:r>
          </w:p>
        </w:tc>
        <w:tc>
          <w:tcPr>
            <w:tcW w:w="1102" w:type="dxa"/>
            <w:tcBorders>
              <w:top w:val="single" w:sz="8" w:space="0" w:color="auto"/>
              <w:left w:val="single" w:sz="8" w:space="0" w:color="auto"/>
              <w:bottom w:val="single" w:sz="8" w:space="0" w:color="auto"/>
              <w:right w:val="single" w:sz="8" w:space="0" w:color="auto"/>
            </w:tcBorders>
            <w:tcMar>
              <w:left w:w="108" w:type="dxa"/>
              <w:right w:w="108" w:type="dxa"/>
            </w:tcMar>
          </w:tcPr>
          <w:p w14:paraId="0F896445" w14:textId="5267765D" w:rsidR="05539986" w:rsidRDefault="05539986" w:rsidP="00452193">
            <w:pPr>
              <w:spacing w:before="0"/>
              <w:jc w:val="center"/>
              <w:rPr>
                <w:rFonts w:ascii="Aptos" w:eastAsia="Aptos" w:hAnsi="Aptos" w:cs="Aptos"/>
                <w:szCs w:val="24"/>
              </w:rPr>
            </w:pPr>
            <w:r w:rsidRPr="05539986">
              <w:rPr>
                <w:rFonts w:ascii="Aptos" w:eastAsia="Aptos" w:hAnsi="Aptos" w:cs="Aptos"/>
                <w:szCs w:val="24"/>
              </w:rPr>
              <w:t>5</w:t>
            </w:r>
          </w:p>
        </w:tc>
        <w:tc>
          <w:tcPr>
            <w:tcW w:w="1057" w:type="dxa"/>
            <w:tcBorders>
              <w:top w:val="single" w:sz="8" w:space="0" w:color="auto"/>
              <w:left w:val="single" w:sz="8" w:space="0" w:color="auto"/>
              <w:bottom w:val="single" w:sz="8" w:space="0" w:color="auto"/>
              <w:right w:val="single" w:sz="8" w:space="0" w:color="auto"/>
            </w:tcBorders>
            <w:tcMar>
              <w:left w:w="108" w:type="dxa"/>
              <w:right w:w="108" w:type="dxa"/>
            </w:tcMar>
          </w:tcPr>
          <w:p w14:paraId="21EAB7B4" w14:textId="761E9971" w:rsidR="05539986" w:rsidRDefault="05539986" w:rsidP="00452193">
            <w:pPr>
              <w:spacing w:before="0"/>
              <w:rPr>
                <w:rFonts w:ascii="Aptos" w:eastAsia="Aptos" w:hAnsi="Aptos" w:cs="Aptos"/>
                <w:szCs w:val="24"/>
              </w:rPr>
            </w:pPr>
            <w:r w:rsidRPr="05539986">
              <w:rPr>
                <w:rFonts w:ascii="Aptos" w:eastAsia="Aptos" w:hAnsi="Aptos" w:cs="Aptos"/>
                <w:szCs w:val="24"/>
              </w:rPr>
              <w:t>4</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tcPr>
          <w:p w14:paraId="6AA17AB9" w14:textId="5FFFA8E0" w:rsidR="05539986" w:rsidRDefault="05539986" w:rsidP="00452193">
            <w:pPr>
              <w:spacing w:before="0"/>
              <w:rPr>
                <w:rFonts w:ascii="Aptos" w:eastAsia="Aptos" w:hAnsi="Aptos" w:cs="Aptos"/>
                <w:szCs w:val="24"/>
              </w:rPr>
            </w:pPr>
            <w:r w:rsidRPr="05539986">
              <w:rPr>
                <w:rFonts w:ascii="Aptos" w:eastAsia="Aptos" w:hAnsi="Aptos" w:cs="Aptos"/>
                <w:szCs w:val="24"/>
              </w:rPr>
              <w:t>6</w:t>
            </w:r>
          </w:p>
        </w:tc>
        <w:tc>
          <w:tcPr>
            <w:tcW w:w="658" w:type="dxa"/>
            <w:tcBorders>
              <w:top w:val="single" w:sz="8" w:space="0" w:color="auto"/>
              <w:left w:val="single" w:sz="8" w:space="0" w:color="auto"/>
              <w:bottom w:val="single" w:sz="8" w:space="0" w:color="auto"/>
              <w:right w:val="single" w:sz="8" w:space="0" w:color="auto"/>
            </w:tcBorders>
            <w:tcMar>
              <w:left w:w="108" w:type="dxa"/>
              <w:right w:w="108" w:type="dxa"/>
            </w:tcMar>
          </w:tcPr>
          <w:p w14:paraId="67A2008B" w14:textId="396DAB23" w:rsidR="05539986" w:rsidRDefault="05539986" w:rsidP="00452193">
            <w:pPr>
              <w:spacing w:before="0"/>
              <w:rPr>
                <w:rFonts w:ascii="Aptos" w:eastAsia="Aptos" w:hAnsi="Aptos" w:cs="Aptos"/>
                <w:szCs w:val="24"/>
              </w:rPr>
            </w:pPr>
            <w:r w:rsidRPr="05539986">
              <w:rPr>
                <w:rFonts w:ascii="Aptos" w:eastAsia="Aptos" w:hAnsi="Aptos" w:cs="Aptos"/>
                <w:szCs w:val="24"/>
              </w:rPr>
              <w:t>25</w:t>
            </w:r>
          </w:p>
        </w:tc>
        <w:tc>
          <w:tcPr>
            <w:tcW w:w="664" w:type="dxa"/>
            <w:tcBorders>
              <w:top w:val="single" w:sz="8" w:space="0" w:color="auto"/>
              <w:left w:val="single" w:sz="8" w:space="0" w:color="auto"/>
              <w:bottom w:val="single" w:sz="8" w:space="0" w:color="auto"/>
              <w:right w:val="single" w:sz="8" w:space="0" w:color="auto"/>
            </w:tcBorders>
            <w:tcMar>
              <w:left w:w="108" w:type="dxa"/>
              <w:right w:w="108" w:type="dxa"/>
            </w:tcMar>
          </w:tcPr>
          <w:p w14:paraId="181C4BD3" w14:textId="2B58BD13" w:rsidR="05539986" w:rsidRDefault="05539986" w:rsidP="00452193">
            <w:pPr>
              <w:spacing w:before="0"/>
              <w:rPr>
                <w:rFonts w:ascii="Aptos" w:eastAsia="Aptos" w:hAnsi="Aptos" w:cs="Aptos"/>
                <w:szCs w:val="24"/>
              </w:rPr>
            </w:pPr>
            <w:r w:rsidRPr="05539986">
              <w:rPr>
                <w:rFonts w:ascii="Aptos" w:eastAsia="Aptos" w:hAnsi="Aptos" w:cs="Aptos"/>
                <w:szCs w:val="24"/>
              </w:rPr>
              <w:t>19</w:t>
            </w:r>
          </w:p>
        </w:tc>
        <w:tc>
          <w:tcPr>
            <w:tcW w:w="654" w:type="dxa"/>
            <w:tcBorders>
              <w:top w:val="single" w:sz="8" w:space="0" w:color="auto"/>
              <w:left w:val="single" w:sz="8" w:space="0" w:color="auto"/>
              <w:bottom w:val="single" w:sz="8" w:space="0" w:color="auto"/>
              <w:right w:val="single" w:sz="8" w:space="0" w:color="auto"/>
            </w:tcBorders>
            <w:tcMar>
              <w:left w:w="108" w:type="dxa"/>
              <w:right w:w="108" w:type="dxa"/>
            </w:tcMar>
          </w:tcPr>
          <w:p w14:paraId="18D2472C" w14:textId="677DA9A8" w:rsidR="05539986" w:rsidRDefault="05539986" w:rsidP="00452193">
            <w:pPr>
              <w:spacing w:before="0"/>
              <w:rPr>
                <w:rFonts w:ascii="Aptos" w:eastAsia="Aptos" w:hAnsi="Aptos" w:cs="Aptos"/>
                <w:szCs w:val="24"/>
              </w:rPr>
            </w:pPr>
            <w:r w:rsidRPr="05539986">
              <w:rPr>
                <w:rFonts w:ascii="Aptos" w:eastAsia="Aptos" w:hAnsi="Aptos" w:cs="Aptos"/>
                <w:szCs w:val="24"/>
              </w:rPr>
              <w:t>1</w:t>
            </w:r>
          </w:p>
        </w:tc>
      </w:tr>
    </w:tbl>
    <w:p w14:paraId="63C96DA0" w14:textId="3D7DAD49" w:rsidR="006D16F7" w:rsidRDefault="006D16F7" w:rsidP="05539986"/>
    <w:p w14:paraId="05A1F022" w14:textId="4A7D9470" w:rsidR="006D16F7" w:rsidRDefault="006D16F7" w:rsidP="00F653EB">
      <w:r>
        <w:t>There</w:t>
      </w:r>
      <w:r w:rsidR="00E4189B">
        <w:t xml:space="preserve"> were </w:t>
      </w:r>
      <w:r w:rsidR="0056118A">
        <w:t xml:space="preserve">some </w:t>
      </w:r>
      <w:r w:rsidR="00E4189B">
        <w:t>limitations</w:t>
      </w:r>
      <w:r w:rsidR="0056118A">
        <w:t xml:space="preserve"> in who was able to access the programme, as </w:t>
      </w:r>
      <w:r w:rsidR="00C07ED1">
        <w:t>a few</w:t>
      </w:r>
      <w:r w:rsidR="0056118A">
        <w:t xml:space="preserve"> programmes required interviews or portfolio reviews</w:t>
      </w:r>
      <w:r w:rsidR="00C07ED1">
        <w:t xml:space="preserve">. Some </w:t>
      </w:r>
      <w:r w:rsidR="0056118A">
        <w:t>eligible</w:t>
      </w:r>
      <w:r w:rsidR="00C07ED1">
        <w:t>,</w:t>
      </w:r>
      <w:r w:rsidR="008C64B8">
        <w:t xml:space="preserve"> potential</w:t>
      </w:r>
      <w:r w:rsidR="0056118A">
        <w:t xml:space="preserve"> participants </w:t>
      </w:r>
      <w:r w:rsidR="004A1BF4">
        <w:t xml:space="preserve">were </w:t>
      </w:r>
      <w:r w:rsidR="0056118A">
        <w:t xml:space="preserve">waiting for these aspects of their application to conclude. </w:t>
      </w:r>
      <w:r w:rsidR="008C64B8">
        <w:t>However, a decision was taken to exclude these potential participants</w:t>
      </w:r>
      <w:r w:rsidR="00B66F28">
        <w:t xml:space="preserve">, </w:t>
      </w:r>
      <w:r w:rsidR="004A1BF4">
        <w:t>as there</w:t>
      </w:r>
      <w:r w:rsidR="00B66F28">
        <w:t xml:space="preserve"> would not have been time to </w:t>
      </w:r>
      <w:r w:rsidR="00B66F28">
        <w:lastRenderedPageBreak/>
        <w:t xml:space="preserve">prepare the in-person event suitably for them. </w:t>
      </w:r>
      <w:r w:rsidR="00A36C99">
        <w:t>Ways to include</w:t>
      </w:r>
      <w:r w:rsidR="00B66F28">
        <w:t xml:space="preserve"> these excluded participants </w:t>
      </w:r>
      <w:r w:rsidR="00C07ED1">
        <w:t>should be considered for future iterations.</w:t>
      </w:r>
    </w:p>
    <w:p w14:paraId="0D9DC1B5" w14:textId="6C630CC2" w:rsidR="00F653EB" w:rsidRDefault="55AB51F3" w:rsidP="00176CC6">
      <w:pPr>
        <w:pStyle w:val="Heading2"/>
      </w:pPr>
      <w:bookmarkStart w:id="15" w:name="_Toc227058295"/>
      <w:r>
        <w:t>Data collection</w:t>
      </w:r>
      <w:bookmarkEnd w:id="15"/>
    </w:p>
    <w:p w14:paraId="621C3A8E" w14:textId="04675A72" w:rsidR="00A61AB6" w:rsidRPr="00D626E9" w:rsidRDefault="00A61AB6" w:rsidP="00F653EB">
      <w:pPr>
        <w:rPr>
          <w:i/>
          <w:iCs/>
        </w:rPr>
      </w:pPr>
      <w:r w:rsidRPr="00D626E9">
        <w:rPr>
          <w:i/>
          <w:iCs/>
        </w:rPr>
        <w:t>Surveys</w:t>
      </w:r>
    </w:p>
    <w:p w14:paraId="5BE3D4F8" w14:textId="2C18F841" w:rsidR="00A61AB6" w:rsidRDefault="00A61AB6" w:rsidP="00F653EB">
      <w:r>
        <w:t>Students</w:t>
      </w:r>
      <w:r w:rsidR="000273B1">
        <w:t xml:space="preserve"> were sent Survey 1 in April (before the in-person event).</w:t>
      </w:r>
    </w:p>
    <w:p w14:paraId="158861B4" w14:textId="734164E6" w:rsidR="000273B1" w:rsidRDefault="000273B1" w:rsidP="00F653EB">
      <w:r>
        <w:t>Students who attended the in-person event completed Survey 2 at the end of the day.</w:t>
      </w:r>
    </w:p>
    <w:p w14:paraId="65ACD0CF" w14:textId="64304400" w:rsidR="000273B1" w:rsidRDefault="000273B1" w:rsidP="00F653EB">
      <w:r>
        <w:t>Students were sent Survey 3 in July.</w:t>
      </w:r>
    </w:p>
    <w:p w14:paraId="7100503D" w14:textId="77777777" w:rsidR="00392FE4" w:rsidRDefault="00392FE4" w:rsidP="00F653EB"/>
    <w:p w14:paraId="6526665D" w14:textId="4743F4EE" w:rsidR="00125755" w:rsidRDefault="00392FE4" w:rsidP="00F653EB">
      <w:r>
        <w:t>Each survey had a series of shared questions, as well as questions that were unique to that particular survey.</w:t>
      </w:r>
      <w:r w:rsidR="00696F22">
        <w:t xml:space="preserve"> The shared questions were drawn from TASO </w:t>
      </w:r>
      <w:r w:rsidR="003D14AE">
        <w:t xml:space="preserve">ASQ </w:t>
      </w:r>
      <w:r w:rsidR="00F27CF1">
        <w:t>questions,</w:t>
      </w:r>
      <w:r w:rsidR="00696F22">
        <w:t xml:space="preserve"> and it is these that form</w:t>
      </w:r>
      <w:r w:rsidR="00C27868">
        <w:t xml:space="preserve"> </w:t>
      </w:r>
      <w:r w:rsidR="00696F22">
        <w:t xml:space="preserve">the Type 2 evaluation </w:t>
      </w:r>
      <w:r w:rsidR="00C27868">
        <w:t>questions.</w:t>
      </w:r>
    </w:p>
    <w:p w14:paraId="4E2F4F85" w14:textId="77777777" w:rsidR="00125755" w:rsidRDefault="00125755" w:rsidP="00F653EB"/>
    <w:p w14:paraId="12DD2D66" w14:textId="2136D36D" w:rsidR="00E12D79" w:rsidRDefault="00C27868" w:rsidP="00F653EB">
      <w:r>
        <w:t>Shared questions:</w:t>
      </w:r>
    </w:p>
    <w:tbl>
      <w:tblPr>
        <w:tblStyle w:val="TableGrid"/>
        <w:tblW w:w="0" w:type="auto"/>
        <w:tblLook w:val="04A0" w:firstRow="1" w:lastRow="0" w:firstColumn="1" w:lastColumn="0" w:noHBand="0" w:noVBand="1"/>
      </w:tblPr>
      <w:tblGrid>
        <w:gridCol w:w="2263"/>
        <w:gridCol w:w="7195"/>
      </w:tblGrid>
      <w:tr w:rsidR="00C27868" w14:paraId="53A34CF3" w14:textId="77777777" w:rsidTr="00C27868">
        <w:tc>
          <w:tcPr>
            <w:tcW w:w="2263" w:type="dxa"/>
          </w:tcPr>
          <w:p w14:paraId="4836E249" w14:textId="0D653A93" w:rsidR="00C27868" w:rsidRDefault="00C27868" w:rsidP="00F653EB">
            <w:r>
              <w:t>Concept</w:t>
            </w:r>
          </w:p>
        </w:tc>
        <w:tc>
          <w:tcPr>
            <w:tcW w:w="7195" w:type="dxa"/>
          </w:tcPr>
          <w:p w14:paraId="7C93F823" w14:textId="576E7586" w:rsidR="00C27868" w:rsidRDefault="00C27868" w:rsidP="00F653EB">
            <w:r>
              <w:t>Question</w:t>
            </w:r>
          </w:p>
        </w:tc>
      </w:tr>
      <w:tr w:rsidR="00C27868" w14:paraId="61DDAF00" w14:textId="77777777" w:rsidTr="00C27868">
        <w:tc>
          <w:tcPr>
            <w:tcW w:w="2263" w:type="dxa"/>
          </w:tcPr>
          <w:p w14:paraId="3ACBF865" w14:textId="33906B3B" w:rsidR="00C27868" w:rsidRDefault="000410B3" w:rsidP="00F653EB">
            <w:r>
              <w:t>Knowledge and expectations</w:t>
            </w:r>
          </w:p>
        </w:tc>
        <w:tc>
          <w:tcPr>
            <w:tcW w:w="7195" w:type="dxa"/>
          </w:tcPr>
          <w:p w14:paraId="35DC7840" w14:textId="77777777" w:rsidR="000410B3" w:rsidRPr="000410B3" w:rsidRDefault="000410B3" w:rsidP="00654B8F">
            <w:pPr>
              <w:numPr>
                <w:ilvl w:val="0"/>
                <w:numId w:val="14"/>
              </w:numPr>
            </w:pPr>
            <w:r w:rsidRPr="000410B3">
              <w:t>I know what studying at university would be like. </w:t>
            </w:r>
          </w:p>
          <w:p w14:paraId="3E0506AB" w14:textId="212EDFDA" w:rsidR="00C27868" w:rsidRDefault="000410B3" w:rsidP="00654B8F">
            <w:pPr>
              <w:numPr>
                <w:ilvl w:val="0"/>
                <w:numId w:val="15"/>
              </w:numPr>
            </w:pPr>
            <w:r w:rsidRPr="000410B3">
              <w:t>I know how studying in university is different from studying in school or college. </w:t>
            </w:r>
          </w:p>
        </w:tc>
      </w:tr>
      <w:tr w:rsidR="00C27868" w14:paraId="18812678" w14:textId="77777777" w:rsidTr="00C27868">
        <w:tc>
          <w:tcPr>
            <w:tcW w:w="2263" w:type="dxa"/>
          </w:tcPr>
          <w:p w14:paraId="108F8DE3" w14:textId="083D181F" w:rsidR="00C27868" w:rsidRDefault="002B4FEC" w:rsidP="00F653EB">
            <w:r>
              <w:t>Sense of belonging</w:t>
            </w:r>
          </w:p>
        </w:tc>
        <w:tc>
          <w:tcPr>
            <w:tcW w:w="7195" w:type="dxa"/>
          </w:tcPr>
          <w:p w14:paraId="26F6D700" w14:textId="143FDB62" w:rsidR="006C7A1F" w:rsidRDefault="006C7A1F" w:rsidP="00654B8F">
            <w:pPr>
              <w:pStyle w:val="ListParagraph"/>
              <w:numPr>
                <w:ilvl w:val="0"/>
                <w:numId w:val="15"/>
              </w:numPr>
            </w:pPr>
            <w:r w:rsidRPr="006C7A1F">
              <w:t>The University of Reading is for people like me. </w:t>
            </w:r>
          </w:p>
          <w:p w14:paraId="6CCD91F1" w14:textId="77777777" w:rsidR="006C7A1F" w:rsidRPr="006C7A1F" w:rsidRDefault="006C7A1F" w:rsidP="006C7A1F">
            <w:pPr>
              <w:pStyle w:val="ListParagraph"/>
              <w:numPr>
                <w:ilvl w:val="0"/>
                <w:numId w:val="0"/>
              </w:numPr>
              <w:ind w:left="720"/>
            </w:pPr>
          </w:p>
          <w:p w14:paraId="7DE27A0F" w14:textId="4880F451" w:rsidR="006C7A1F" w:rsidRDefault="006C7A1F" w:rsidP="00654B8F">
            <w:pPr>
              <w:pStyle w:val="ListParagraph"/>
              <w:numPr>
                <w:ilvl w:val="0"/>
                <w:numId w:val="15"/>
              </w:numPr>
            </w:pPr>
            <w:r w:rsidRPr="006C7A1F">
              <w:t>I would fit in well academically with others at university. </w:t>
            </w:r>
          </w:p>
          <w:p w14:paraId="2361E6DD" w14:textId="77777777" w:rsidR="006C7A1F" w:rsidRDefault="006C7A1F" w:rsidP="006C7A1F">
            <w:pPr>
              <w:pStyle w:val="ListParagraph"/>
              <w:numPr>
                <w:ilvl w:val="0"/>
                <w:numId w:val="0"/>
              </w:numPr>
              <w:ind w:left="720"/>
            </w:pPr>
          </w:p>
          <w:p w14:paraId="056D5014" w14:textId="77777777" w:rsidR="006C7A1F" w:rsidRDefault="006C7A1F" w:rsidP="00654B8F">
            <w:pPr>
              <w:pStyle w:val="ListParagraph"/>
              <w:numPr>
                <w:ilvl w:val="0"/>
                <w:numId w:val="15"/>
              </w:numPr>
            </w:pPr>
            <w:r w:rsidRPr="006C7A1F">
              <w:t>I would fit in well socially with others at university. </w:t>
            </w:r>
          </w:p>
          <w:p w14:paraId="088B2AD9" w14:textId="77777777" w:rsidR="002B4FEC" w:rsidRDefault="002B4FEC" w:rsidP="002B4FEC">
            <w:pPr>
              <w:pStyle w:val="ListParagraph"/>
              <w:numPr>
                <w:ilvl w:val="0"/>
                <w:numId w:val="0"/>
              </w:numPr>
              <w:ind w:left="720"/>
            </w:pPr>
          </w:p>
          <w:p w14:paraId="6E42ECBE" w14:textId="310CE8D7" w:rsidR="00C27868" w:rsidRDefault="006C7A1F" w:rsidP="00654B8F">
            <w:pPr>
              <w:pStyle w:val="ListParagraph"/>
              <w:numPr>
                <w:ilvl w:val="0"/>
                <w:numId w:val="15"/>
              </w:numPr>
            </w:pPr>
            <w:r w:rsidRPr="006C7A1F">
              <w:t>I can see myself being part of the University of Reading’s community. </w:t>
            </w:r>
          </w:p>
        </w:tc>
      </w:tr>
      <w:tr w:rsidR="00C27868" w14:paraId="2BE9B192" w14:textId="77777777" w:rsidTr="00C27868">
        <w:tc>
          <w:tcPr>
            <w:tcW w:w="2263" w:type="dxa"/>
          </w:tcPr>
          <w:p w14:paraId="2DAD7D5F" w14:textId="758E1323" w:rsidR="00C27868" w:rsidRDefault="002B4FEC" w:rsidP="00F653EB">
            <w:r>
              <w:t>Support</w:t>
            </w:r>
          </w:p>
        </w:tc>
        <w:tc>
          <w:tcPr>
            <w:tcW w:w="7195" w:type="dxa"/>
          </w:tcPr>
          <w:p w14:paraId="73AF6CB1" w14:textId="2F989BB3" w:rsidR="00C27868" w:rsidRDefault="002B4FEC" w:rsidP="00654B8F">
            <w:pPr>
              <w:pStyle w:val="ListParagraph"/>
              <w:numPr>
                <w:ilvl w:val="0"/>
                <w:numId w:val="15"/>
              </w:numPr>
            </w:pPr>
            <w:r w:rsidRPr="002B4FEC">
              <w:t>I know what support would be available to me at University. </w:t>
            </w:r>
          </w:p>
        </w:tc>
      </w:tr>
      <w:tr w:rsidR="00C27868" w14:paraId="32ED6C30" w14:textId="77777777" w:rsidTr="00C27868">
        <w:tc>
          <w:tcPr>
            <w:tcW w:w="2263" w:type="dxa"/>
          </w:tcPr>
          <w:p w14:paraId="3F4DFDD7" w14:textId="4FB8C933" w:rsidR="00C27868" w:rsidRDefault="002B4FEC" w:rsidP="00F653EB">
            <w:r>
              <w:t>Confidence</w:t>
            </w:r>
          </w:p>
        </w:tc>
        <w:tc>
          <w:tcPr>
            <w:tcW w:w="7195" w:type="dxa"/>
          </w:tcPr>
          <w:p w14:paraId="2E0FE5BE" w14:textId="03A115B5" w:rsidR="00C27868" w:rsidRDefault="00125755" w:rsidP="00654B8F">
            <w:pPr>
              <w:pStyle w:val="ListParagraph"/>
              <w:numPr>
                <w:ilvl w:val="0"/>
                <w:numId w:val="15"/>
              </w:numPr>
            </w:pPr>
            <w:r w:rsidRPr="00125755">
              <w:t>I do not feel confident in my ability to cope with learning in higher education    </w:t>
            </w:r>
          </w:p>
        </w:tc>
      </w:tr>
      <w:tr w:rsidR="00C27868" w14:paraId="5CC976D7" w14:textId="77777777" w:rsidTr="00C27868">
        <w:tc>
          <w:tcPr>
            <w:tcW w:w="2263" w:type="dxa"/>
          </w:tcPr>
          <w:p w14:paraId="595C2FD3" w14:textId="5B41CE77" w:rsidR="00C27868" w:rsidRDefault="002B4FEC" w:rsidP="00F653EB">
            <w:r>
              <w:t>Concerns</w:t>
            </w:r>
          </w:p>
        </w:tc>
        <w:tc>
          <w:tcPr>
            <w:tcW w:w="7195" w:type="dxa"/>
          </w:tcPr>
          <w:p w14:paraId="0D139A12" w14:textId="77777777" w:rsidR="00125755" w:rsidRPr="00125755" w:rsidRDefault="00125755" w:rsidP="00654B8F">
            <w:pPr>
              <w:numPr>
                <w:ilvl w:val="0"/>
                <w:numId w:val="16"/>
              </w:numPr>
            </w:pPr>
            <w:r w:rsidRPr="00125755">
              <w:t>I have concerns about continuing into higher education (for example, finances, accommodation, academic) </w:t>
            </w:r>
          </w:p>
          <w:p w14:paraId="40A388F2" w14:textId="3EA58861" w:rsidR="00C27868" w:rsidRDefault="00125755" w:rsidP="00654B8F">
            <w:pPr>
              <w:numPr>
                <w:ilvl w:val="0"/>
                <w:numId w:val="17"/>
              </w:numPr>
            </w:pPr>
            <w:r w:rsidRPr="00125755">
              <w:t>If you do have any concerns about continuing into higher education, please tell us more about these: </w:t>
            </w:r>
          </w:p>
        </w:tc>
      </w:tr>
    </w:tbl>
    <w:p w14:paraId="235E78D6" w14:textId="77777777" w:rsidR="00C27868" w:rsidRDefault="00C27868" w:rsidP="00F653EB"/>
    <w:p w14:paraId="230F7A2B" w14:textId="29A8633C" w:rsidR="00A61AB6" w:rsidRDefault="00A415BE" w:rsidP="00F653EB">
      <w:r>
        <w:lastRenderedPageBreak/>
        <w:t>Questions 1-9 used a</w:t>
      </w:r>
      <w:r w:rsidR="0095670E">
        <w:t xml:space="preserve"> 5 point</w:t>
      </w:r>
      <w:r>
        <w:t xml:space="preserve"> </w:t>
      </w:r>
      <w:r w:rsidR="0095670E">
        <w:t>Likert</w:t>
      </w:r>
      <w:r>
        <w:t xml:space="preserve"> scale while question 10 was an </w:t>
      </w:r>
      <w:r w:rsidR="00C455D8">
        <w:t>open-ended</w:t>
      </w:r>
      <w:r>
        <w:t xml:space="preserve"> question.</w:t>
      </w:r>
      <w:r w:rsidR="00AF5DB5">
        <w:t xml:space="preserve"> T</w:t>
      </w:r>
      <w:r w:rsidR="00AF5DB5" w:rsidRPr="00AF5DB5">
        <w:t>he scale was 1-5, from ‘Strongly disagree’ to ‘Strongly agree’.</w:t>
      </w:r>
    </w:p>
    <w:p w14:paraId="5128DAD7" w14:textId="77777777" w:rsidR="00856B15" w:rsidRDefault="00856B15" w:rsidP="00F653EB"/>
    <w:p w14:paraId="6FBB763A" w14:textId="7FDAD9CB" w:rsidR="00856B15" w:rsidRDefault="00856B15" w:rsidP="00F653EB">
      <w:r>
        <w:t>Unique questions:</w:t>
      </w:r>
    </w:p>
    <w:p w14:paraId="25FEF0A7" w14:textId="608EC8D5" w:rsidR="00846FD3" w:rsidRPr="00846FD3" w:rsidRDefault="00846FD3" w:rsidP="00F653EB">
      <w:pPr>
        <w:rPr>
          <w:i/>
          <w:iCs/>
        </w:rPr>
      </w:pPr>
      <w:r w:rsidRPr="00846FD3">
        <w:rPr>
          <w:i/>
          <w:iCs/>
        </w:rPr>
        <w:t xml:space="preserve">These </w:t>
      </w:r>
      <w:r>
        <w:rPr>
          <w:i/>
          <w:iCs/>
        </w:rPr>
        <w:t>were</w:t>
      </w:r>
      <w:r w:rsidRPr="00846FD3">
        <w:rPr>
          <w:i/>
          <w:iCs/>
        </w:rPr>
        <w:t xml:space="preserve"> all free text questions</w:t>
      </w:r>
      <w:r>
        <w:rPr>
          <w:i/>
          <w:iCs/>
        </w:rPr>
        <w:t>,</w:t>
      </w:r>
      <w:r w:rsidRPr="00846FD3">
        <w:rPr>
          <w:i/>
          <w:iCs/>
        </w:rPr>
        <w:t xml:space="preserve"> unless stated</w:t>
      </w:r>
      <w:r>
        <w:rPr>
          <w:i/>
          <w:iCs/>
        </w:rPr>
        <w:t xml:space="preserve"> after question</w:t>
      </w:r>
      <w:r w:rsidR="00D626E9">
        <w:rPr>
          <w:i/>
          <w:iCs/>
        </w:rPr>
        <w:t>.</w:t>
      </w:r>
    </w:p>
    <w:p w14:paraId="46A08A82" w14:textId="5C0CC3E1" w:rsidR="00856B15" w:rsidRDefault="00856B15" w:rsidP="00F653EB">
      <w:r>
        <w:t>Survey 1</w:t>
      </w:r>
    </w:p>
    <w:p w14:paraId="49C0584B" w14:textId="5186667A" w:rsidR="00A415BE" w:rsidRDefault="0025566B" w:rsidP="00654B8F">
      <w:pPr>
        <w:pStyle w:val="ListParagraph"/>
        <w:numPr>
          <w:ilvl w:val="0"/>
          <w:numId w:val="20"/>
        </w:numPr>
      </w:pPr>
      <w:r w:rsidRPr="0025566B">
        <w:t>Which of the following best describes your application to the University of Reading? (this in no way affects your offer or current participation in the programme)</w:t>
      </w:r>
      <w:r w:rsidR="00846FD3">
        <w:t xml:space="preserve"> – choice of boxes</w:t>
      </w:r>
    </w:p>
    <w:p w14:paraId="74CD4C47" w14:textId="77777777" w:rsidR="00BA2A61" w:rsidRDefault="0025566B" w:rsidP="00654B8F">
      <w:pPr>
        <w:pStyle w:val="ListParagraph"/>
        <w:numPr>
          <w:ilvl w:val="1"/>
          <w:numId w:val="20"/>
        </w:numPr>
      </w:pPr>
      <w:r>
        <w:t>Reading is my firm choice</w:t>
      </w:r>
    </w:p>
    <w:p w14:paraId="78877EB3" w14:textId="77777777" w:rsidR="00BA2A61" w:rsidRDefault="0025566B" w:rsidP="00654B8F">
      <w:pPr>
        <w:pStyle w:val="ListParagraph"/>
        <w:numPr>
          <w:ilvl w:val="1"/>
          <w:numId w:val="20"/>
        </w:numPr>
      </w:pPr>
      <w:r w:rsidRPr="0025566B">
        <w:t>Reading will be my firm choice, I just haven't responded yet.</w:t>
      </w:r>
    </w:p>
    <w:p w14:paraId="37DF7B51" w14:textId="77777777" w:rsidR="00BA2A61" w:rsidRDefault="00BA2A61" w:rsidP="00654B8F">
      <w:pPr>
        <w:pStyle w:val="ListParagraph"/>
        <w:numPr>
          <w:ilvl w:val="1"/>
          <w:numId w:val="20"/>
        </w:numPr>
      </w:pPr>
      <w:r w:rsidRPr="00BA2A61">
        <w:t>Reading is my insurance choice.</w:t>
      </w:r>
    </w:p>
    <w:p w14:paraId="234E321E" w14:textId="77777777" w:rsidR="00BA2A61" w:rsidRDefault="00BA2A61" w:rsidP="00654B8F">
      <w:pPr>
        <w:pStyle w:val="ListParagraph"/>
        <w:numPr>
          <w:ilvl w:val="1"/>
          <w:numId w:val="20"/>
        </w:numPr>
      </w:pPr>
      <w:r w:rsidRPr="00BA2A61">
        <w:t>Reading will be my insurance choice, I just haven't responded yet.</w:t>
      </w:r>
    </w:p>
    <w:p w14:paraId="4C55AB58" w14:textId="77777777" w:rsidR="00BA2A61" w:rsidRDefault="00BA2A61" w:rsidP="00654B8F">
      <w:pPr>
        <w:pStyle w:val="ListParagraph"/>
        <w:numPr>
          <w:ilvl w:val="1"/>
          <w:numId w:val="20"/>
        </w:numPr>
      </w:pPr>
      <w:r w:rsidRPr="00BA2A61">
        <w:t>Reading is likely to my firm choice.</w:t>
      </w:r>
    </w:p>
    <w:p w14:paraId="6BF2C668" w14:textId="77777777" w:rsidR="00BA2A61" w:rsidRDefault="00BA2A61" w:rsidP="00654B8F">
      <w:pPr>
        <w:pStyle w:val="ListParagraph"/>
        <w:numPr>
          <w:ilvl w:val="1"/>
          <w:numId w:val="20"/>
        </w:numPr>
      </w:pPr>
      <w:r w:rsidRPr="00BA2A61">
        <w:t>Reading is likely to be my insurance choice.</w:t>
      </w:r>
    </w:p>
    <w:p w14:paraId="05B06176" w14:textId="77777777" w:rsidR="00BA2A61" w:rsidRDefault="00BA2A61" w:rsidP="00654B8F">
      <w:pPr>
        <w:pStyle w:val="ListParagraph"/>
        <w:numPr>
          <w:ilvl w:val="1"/>
          <w:numId w:val="20"/>
        </w:numPr>
      </w:pPr>
      <w:r w:rsidRPr="00BA2A61">
        <w:t>I am unlikely to progress with Reading as either firm or insurance.</w:t>
      </w:r>
    </w:p>
    <w:p w14:paraId="07CD45BA" w14:textId="3A4E9861" w:rsidR="007F7728" w:rsidRDefault="00BA2A61" w:rsidP="00654B8F">
      <w:pPr>
        <w:pStyle w:val="ListParagraph"/>
        <w:numPr>
          <w:ilvl w:val="1"/>
          <w:numId w:val="20"/>
        </w:numPr>
      </w:pPr>
      <w:r w:rsidRPr="00BA2A61">
        <w:t>I have not yet made decisions about my offers.</w:t>
      </w:r>
    </w:p>
    <w:p w14:paraId="320B65DE" w14:textId="0D2D8654" w:rsidR="0025566B" w:rsidRDefault="007F7728" w:rsidP="00654B8F">
      <w:pPr>
        <w:pStyle w:val="ListParagraph"/>
        <w:numPr>
          <w:ilvl w:val="0"/>
          <w:numId w:val="21"/>
        </w:numPr>
      </w:pPr>
      <w:r w:rsidRPr="007F7728">
        <w:t>Why did you choose to sign up to the Access Reading programme? (tick all that apply)</w:t>
      </w:r>
      <w:r w:rsidR="00846FD3">
        <w:t xml:space="preserve"> – choice of boxes</w:t>
      </w:r>
    </w:p>
    <w:p w14:paraId="2EA229AE" w14:textId="214DFB7F" w:rsidR="007F7728" w:rsidRDefault="007F7728" w:rsidP="00654B8F">
      <w:pPr>
        <w:pStyle w:val="ListParagraph"/>
        <w:numPr>
          <w:ilvl w:val="1"/>
          <w:numId w:val="21"/>
        </w:numPr>
      </w:pPr>
      <w:r w:rsidRPr="007F7728">
        <w:t>Opportunities to meet other applicants</w:t>
      </w:r>
    </w:p>
    <w:p w14:paraId="5582D56D" w14:textId="2E562F2E" w:rsidR="007F7728" w:rsidRDefault="007F7728" w:rsidP="00654B8F">
      <w:pPr>
        <w:pStyle w:val="ListParagraph"/>
        <w:numPr>
          <w:ilvl w:val="1"/>
          <w:numId w:val="21"/>
        </w:numPr>
      </w:pPr>
      <w:r w:rsidRPr="007F7728">
        <w:t>Support from ambassadors / staff</w:t>
      </w:r>
    </w:p>
    <w:p w14:paraId="7CEFD0DE" w14:textId="76C407D0" w:rsidR="007F7728" w:rsidRDefault="007F7728" w:rsidP="00654B8F">
      <w:pPr>
        <w:pStyle w:val="ListParagraph"/>
        <w:numPr>
          <w:ilvl w:val="1"/>
          <w:numId w:val="21"/>
        </w:numPr>
      </w:pPr>
      <w:r w:rsidRPr="007F7728">
        <w:t>Learn more about studying my subject</w:t>
      </w:r>
    </w:p>
    <w:p w14:paraId="1D2A4088" w14:textId="1D182040" w:rsidR="007F7728" w:rsidRDefault="007F7728" w:rsidP="00654B8F">
      <w:pPr>
        <w:pStyle w:val="ListParagraph"/>
        <w:numPr>
          <w:ilvl w:val="1"/>
          <w:numId w:val="21"/>
        </w:numPr>
      </w:pPr>
      <w:r w:rsidRPr="007F7728">
        <w:t>I have concerns / areas that I want more information on e.g. student finance, accommodation, clearing etc.</w:t>
      </w:r>
    </w:p>
    <w:p w14:paraId="51F5DE18" w14:textId="18CD8D6A" w:rsidR="007F7728" w:rsidRDefault="00CB7944" w:rsidP="00654B8F">
      <w:pPr>
        <w:pStyle w:val="ListParagraph"/>
        <w:numPr>
          <w:ilvl w:val="1"/>
          <w:numId w:val="21"/>
        </w:numPr>
      </w:pPr>
      <w:r w:rsidRPr="00CB7944">
        <w:t>Unsure</w:t>
      </w:r>
    </w:p>
    <w:p w14:paraId="7786F47C" w14:textId="2D08D1FB" w:rsidR="00E12D79" w:rsidRDefault="00CB7944" w:rsidP="00654B8F">
      <w:pPr>
        <w:pStyle w:val="ListParagraph"/>
        <w:numPr>
          <w:ilvl w:val="1"/>
          <w:numId w:val="21"/>
        </w:numPr>
      </w:pPr>
      <w:r w:rsidRPr="00CB7944">
        <w:t>Other - please do put any other reasons in the box below</w:t>
      </w:r>
    </w:p>
    <w:p w14:paraId="0851C41B" w14:textId="445220D5" w:rsidR="00CB7944" w:rsidRDefault="00CB7944" w:rsidP="00654B8F">
      <w:pPr>
        <w:pStyle w:val="ListParagraph"/>
        <w:numPr>
          <w:ilvl w:val="0"/>
          <w:numId w:val="21"/>
        </w:numPr>
      </w:pPr>
      <w:r w:rsidRPr="00CB7944">
        <w:t>(optional) The Access Reading programme could best support me by.....</w:t>
      </w:r>
    </w:p>
    <w:p w14:paraId="10232B66" w14:textId="13E0D5ED" w:rsidR="00CB7944" w:rsidRDefault="005E113A" w:rsidP="00654B8F">
      <w:pPr>
        <w:pStyle w:val="ListParagraph"/>
        <w:numPr>
          <w:ilvl w:val="0"/>
          <w:numId w:val="21"/>
        </w:numPr>
      </w:pPr>
      <w:r w:rsidRPr="005E113A">
        <w:t>(optional) I would like the following topics to be covered....</w:t>
      </w:r>
    </w:p>
    <w:p w14:paraId="0ACA3A0B" w14:textId="24F2449D" w:rsidR="005E113A" w:rsidRDefault="005E113A" w:rsidP="00654B8F">
      <w:pPr>
        <w:pStyle w:val="ListParagraph"/>
        <w:numPr>
          <w:ilvl w:val="0"/>
          <w:numId w:val="21"/>
        </w:numPr>
      </w:pPr>
      <w:r w:rsidRPr="005E113A">
        <w:t>(optional) Is there anything else you want to tell us?</w:t>
      </w:r>
    </w:p>
    <w:p w14:paraId="50EFA175" w14:textId="77777777" w:rsidR="005E113A" w:rsidRDefault="005E113A" w:rsidP="005E113A"/>
    <w:p w14:paraId="1F85E17F" w14:textId="4DF908D1" w:rsidR="005E113A" w:rsidRDefault="005E113A" w:rsidP="005E113A">
      <w:r>
        <w:t>Survey 2</w:t>
      </w:r>
    </w:p>
    <w:p w14:paraId="13DED9B0" w14:textId="742B6FEA" w:rsidR="005E113A" w:rsidRDefault="00CF522E" w:rsidP="00654B8F">
      <w:pPr>
        <w:pStyle w:val="ListParagraph"/>
        <w:numPr>
          <w:ilvl w:val="0"/>
          <w:numId w:val="22"/>
        </w:numPr>
      </w:pPr>
      <w:r>
        <w:t>I found the day helpful (5 point Likert scale ‘strongly disagree’ to ‘strongly agree’)</w:t>
      </w:r>
    </w:p>
    <w:p w14:paraId="2566F8EC" w14:textId="679B9A07" w:rsidR="00C8685B" w:rsidRDefault="00184E7B" w:rsidP="00654B8F">
      <w:pPr>
        <w:pStyle w:val="ListParagraph"/>
        <w:numPr>
          <w:ilvl w:val="0"/>
          <w:numId w:val="22"/>
        </w:numPr>
      </w:pPr>
      <w:r w:rsidRPr="00184E7B">
        <w:t>What aspect of the day did you find most helpful and why? </w:t>
      </w:r>
    </w:p>
    <w:p w14:paraId="68D99B43" w14:textId="014A95F1" w:rsidR="00184E7B" w:rsidRDefault="00184E7B" w:rsidP="00184E7B">
      <w:pPr>
        <w:ind w:left="360"/>
      </w:pPr>
      <w:r>
        <w:t>As a result of the subject sessions….</w:t>
      </w:r>
    </w:p>
    <w:p w14:paraId="0BF42EC5" w14:textId="18E531D8" w:rsidR="00184E7B" w:rsidRDefault="00C8685B" w:rsidP="00654B8F">
      <w:pPr>
        <w:pStyle w:val="ListParagraph"/>
        <w:numPr>
          <w:ilvl w:val="0"/>
          <w:numId w:val="23"/>
        </w:numPr>
      </w:pPr>
      <w:r w:rsidRPr="00C8685B">
        <w:t>I have learnt something new e.g., skills or subject knowledge. </w:t>
      </w:r>
      <w:r w:rsidR="00057D44">
        <w:t xml:space="preserve"> (5 point Likert scale ‘strongly disagree’ to ‘strongly agree’)</w:t>
      </w:r>
    </w:p>
    <w:p w14:paraId="034E0CC7" w14:textId="0C599FF3" w:rsidR="00C8685B" w:rsidRDefault="00C8685B" w:rsidP="00654B8F">
      <w:pPr>
        <w:pStyle w:val="ListParagraph"/>
        <w:numPr>
          <w:ilvl w:val="0"/>
          <w:numId w:val="23"/>
        </w:numPr>
      </w:pPr>
      <w:r w:rsidRPr="00C8685B">
        <w:t>If applicable, what did you learn? Do you think this will be helpful to your future studies and how? </w:t>
      </w:r>
    </w:p>
    <w:p w14:paraId="61A0BED7" w14:textId="2B05B408" w:rsidR="00C8685B" w:rsidRDefault="00C8685B" w:rsidP="00654B8F">
      <w:pPr>
        <w:pStyle w:val="ListParagraph"/>
        <w:numPr>
          <w:ilvl w:val="0"/>
          <w:numId w:val="23"/>
        </w:numPr>
      </w:pPr>
      <w:r w:rsidRPr="00C8685B">
        <w:lastRenderedPageBreak/>
        <w:t>How could we improve the subject session? If applicable, what support do you think would help you feel more equipped for university study? </w:t>
      </w:r>
    </w:p>
    <w:p w14:paraId="51F0EDB7" w14:textId="141CCEB1" w:rsidR="00057D44" w:rsidRDefault="00057D44" w:rsidP="00654B8F">
      <w:pPr>
        <w:pStyle w:val="ListParagraph"/>
        <w:numPr>
          <w:ilvl w:val="0"/>
          <w:numId w:val="23"/>
        </w:numPr>
      </w:pPr>
      <w:r w:rsidRPr="00057D44">
        <w:t>This event has positively influenced my desire to study at the University of Reading</w:t>
      </w:r>
      <w:r>
        <w:t>. (5 point Likert scale ‘strongly disagree’ to ‘strongly agree’)</w:t>
      </w:r>
    </w:p>
    <w:p w14:paraId="6BE882DB" w14:textId="433F87CD" w:rsidR="00057D44" w:rsidRDefault="00057D44" w:rsidP="00654B8F">
      <w:pPr>
        <w:pStyle w:val="ListParagraph"/>
        <w:numPr>
          <w:ilvl w:val="0"/>
          <w:numId w:val="23"/>
        </w:numPr>
      </w:pPr>
      <w:r w:rsidRPr="00057D44">
        <w:t>What could we do to improve the day overall? </w:t>
      </w:r>
    </w:p>
    <w:p w14:paraId="015F6111" w14:textId="28A13AE1" w:rsidR="00057D44" w:rsidRDefault="00057D44" w:rsidP="00654B8F">
      <w:pPr>
        <w:pStyle w:val="ListParagraph"/>
        <w:numPr>
          <w:ilvl w:val="0"/>
          <w:numId w:val="23"/>
        </w:numPr>
      </w:pPr>
      <w:r w:rsidRPr="00057D44">
        <w:t>Thinking about the transition to university, what other topics would you like covered in our resources and ambassador support in the summer term? </w:t>
      </w:r>
    </w:p>
    <w:p w14:paraId="73085272" w14:textId="77777777" w:rsidR="00331334" w:rsidRDefault="00331334" w:rsidP="00331334"/>
    <w:p w14:paraId="7DFCAB2F" w14:textId="37C9575D" w:rsidR="00331334" w:rsidRDefault="00331334" w:rsidP="00331334">
      <w:r>
        <w:t>Survey 3</w:t>
      </w:r>
    </w:p>
    <w:p w14:paraId="3E63A9DF" w14:textId="4AE567A9" w:rsidR="00331334" w:rsidRDefault="00331334" w:rsidP="00654B8F">
      <w:pPr>
        <w:pStyle w:val="ListParagraph"/>
        <w:numPr>
          <w:ilvl w:val="0"/>
          <w:numId w:val="24"/>
        </w:numPr>
      </w:pPr>
      <w:r w:rsidRPr="00331334">
        <w:t>The Access Reading programme was a useful programme for me</w:t>
      </w:r>
      <w:r w:rsidR="00846FD3">
        <w:t xml:space="preserve"> (5 point Likert scale ‘strongly disagree’ to ‘strongly agree’)</w:t>
      </w:r>
    </w:p>
    <w:p w14:paraId="7D69EA5C" w14:textId="30888696" w:rsidR="00331334" w:rsidRDefault="00331334" w:rsidP="00654B8F">
      <w:pPr>
        <w:pStyle w:val="ListParagraph"/>
        <w:numPr>
          <w:ilvl w:val="0"/>
          <w:numId w:val="24"/>
        </w:numPr>
      </w:pPr>
      <w:r>
        <w:t>Please explain your answer</w:t>
      </w:r>
    </w:p>
    <w:p w14:paraId="3BA2E38E" w14:textId="2BE27DB5" w:rsidR="00846FD3" w:rsidRDefault="00846FD3" w:rsidP="00654B8F">
      <w:pPr>
        <w:pStyle w:val="ListParagraph"/>
        <w:numPr>
          <w:ilvl w:val="0"/>
          <w:numId w:val="24"/>
        </w:numPr>
      </w:pPr>
      <w:r w:rsidRPr="00846FD3">
        <w:t>How could the online offering (</w:t>
      </w:r>
      <w:proofErr w:type="spellStart"/>
      <w:r w:rsidRPr="00846FD3">
        <w:t>Unibuddy</w:t>
      </w:r>
      <w:proofErr w:type="spellEnd"/>
      <w:r w:rsidRPr="00846FD3">
        <w:t xml:space="preserve"> and Virtual Hub) be improved for future years?</w:t>
      </w:r>
    </w:p>
    <w:p w14:paraId="563ED4E4" w14:textId="4295FD03" w:rsidR="00846FD3" w:rsidRDefault="00846FD3" w:rsidP="00654B8F">
      <w:pPr>
        <w:pStyle w:val="ListParagraph"/>
        <w:numPr>
          <w:ilvl w:val="0"/>
          <w:numId w:val="24"/>
        </w:numPr>
      </w:pPr>
      <w:r w:rsidRPr="00846FD3">
        <w:t>I would like the following topics to be covered between now and enrolling in September....</w:t>
      </w:r>
    </w:p>
    <w:p w14:paraId="5275E701" w14:textId="4D9A8BB5" w:rsidR="00846FD3" w:rsidRDefault="00846FD3" w:rsidP="00654B8F">
      <w:pPr>
        <w:pStyle w:val="ListParagraph"/>
        <w:numPr>
          <w:ilvl w:val="0"/>
          <w:numId w:val="24"/>
        </w:numPr>
      </w:pPr>
      <w:r w:rsidRPr="00846FD3">
        <w:t>Is there anything else you want to tell us about Access Reading?</w:t>
      </w:r>
    </w:p>
    <w:p w14:paraId="7CBD6AAF" w14:textId="5C38EB11" w:rsidR="00A61AB6" w:rsidRDefault="00A61AB6" w:rsidP="00F653EB">
      <w:pPr>
        <w:rPr>
          <w:u w:val="single"/>
        </w:rPr>
      </w:pPr>
    </w:p>
    <w:p w14:paraId="2EED61B8" w14:textId="63ABB254" w:rsidR="00F653EB" w:rsidRDefault="55AB51F3" w:rsidP="00176CC6">
      <w:pPr>
        <w:pStyle w:val="Heading2"/>
      </w:pPr>
      <w:bookmarkStart w:id="16" w:name="_Toc227058296"/>
      <w:r>
        <w:t>Ethics and Data Security</w:t>
      </w:r>
      <w:bookmarkEnd w:id="16"/>
    </w:p>
    <w:p w14:paraId="1D09D88B" w14:textId="654EA882" w:rsidR="00822334" w:rsidRDefault="00822334" w:rsidP="00F653EB">
      <w:r w:rsidRPr="00822334">
        <w:t xml:space="preserve">Participants for </w:t>
      </w:r>
      <w:r>
        <w:t>all three surveys</w:t>
      </w:r>
      <w:r w:rsidRPr="00822334">
        <w:t xml:space="preserve"> were informed that by completing the survey they consented for their data to be used for evaluation purposes and published in a report externally in an anonymised form</w:t>
      </w:r>
      <w:r w:rsidR="00DB6E15">
        <w:t>.</w:t>
      </w:r>
    </w:p>
    <w:p w14:paraId="09004477" w14:textId="7B90089F" w:rsidR="00953393" w:rsidRDefault="00DB6E15" w:rsidP="00111FB4">
      <w:r>
        <w:t xml:space="preserve">The two online surveys </w:t>
      </w:r>
      <w:r w:rsidR="005337D0">
        <w:t>gave the option for participants to enter a prize draw</w:t>
      </w:r>
      <w:r w:rsidR="00953393">
        <w:t xml:space="preserve"> in return for completing the survey. Full terms and conditions were laid out to participants in advance of consenting to this.</w:t>
      </w:r>
    </w:p>
    <w:p w14:paraId="754AD75B" w14:textId="5640A4D4" w:rsidR="005554E1" w:rsidRDefault="7D673F55" w:rsidP="00176CC6">
      <w:pPr>
        <w:pStyle w:val="Heading2"/>
      </w:pPr>
      <w:bookmarkStart w:id="17" w:name="_Toc227058297"/>
      <w:r>
        <w:t>Data analysis</w:t>
      </w:r>
      <w:bookmarkEnd w:id="17"/>
    </w:p>
    <w:p w14:paraId="67B994F6" w14:textId="779D7284" w:rsidR="00E04493" w:rsidRPr="008C5CAB" w:rsidRDefault="00E04493" w:rsidP="00E04493">
      <w:pPr>
        <w:rPr>
          <w:i/>
          <w:iCs/>
        </w:rPr>
      </w:pPr>
      <w:r w:rsidRPr="008C5CAB">
        <w:rPr>
          <w:i/>
          <w:iCs/>
        </w:rPr>
        <w:t>Surveys</w:t>
      </w:r>
    </w:p>
    <w:p w14:paraId="0A5FAFAD" w14:textId="4E788527" w:rsidR="00E04493" w:rsidRDefault="00E04493" w:rsidP="00E04493">
      <w:r>
        <w:t xml:space="preserve">Survey results were </w:t>
      </w:r>
      <w:r w:rsidR="00A64CA9">
        <w:t>checked for a normal distribution of data. Only the concept of belonging met th</w:t>
      </w:r>
      <w:r w:rsidR="00DD517D">
        <w:t>e assumptions for a paired t-test and so this was used to ascertain whether average survey 1 scores different significantly from survey 2 and/or 3.</w:t>
      </w:r>
      <w:r w:rsidR="00493DF1">
        <w:t xml:space="preserve"> </w:t>
      </w:r>
    </w:p>
    <w:p w14:paraId="7C088B51" w14:textId="2442C0D1" w:rsidR="00A27770" w:rsidRDefault="00493DF1" w:rsidP="00E04493">
      <w:r>
        <w:t xml:space="preserve">In the cases of the remaining four concepts (knowledge, support, confidence &amp; concerns) </w:t>
      </w:r>
      <w:r w:rsidR="00A27770">
        <w:t xml:space="preserve">data was not normally distributed. This meant paired </w:t>
      </w:r>
      <w:r w:rsidR="009D4314">
        <w:t>non-</w:t>
      </w:r>
      <w:r w:rsidR="00A27770">
        <w:t>parametric tests were conducted to ascertain whether average survey 1 scores different significantly from survey 2 and/or 3.</w:t>
      </w:r>
    </w:p>
    <w:p w14:paraId="603CFB04" w14:textId="48111A3B" w:rsidR="00CE20AE" w:rsidRDefault="00A27770" w:rsidP="00E04493">
      <w:r>
        <w:t xml:space="preserve">Effect sizes of all </w:t>
      </w:r>
      <w:r w:rsidR="001A3185">
        <w:t>five tests (whether t-test or parametric) were then calculated.</w:t>
      </w:r>
    </w:p>
    <w:p w14:paraId="46E39A55" w14:textId="77777777" w:rsidR="00AC4B52" w:rsidRPr="00AC4B52" w:rsidRDefault="00AC4B52" w:rsidP="00E04493"/>
    <w:p w14:paraId="0413DA35" w14:textId="05DF3D3D" w:rsidR="00CE20AE" w:rsidRPr="008C5CAB" w:rsidRDefault="00CE20AE" w:rsidP="00E04493">
      <w:pPr>
        <w:rPr>
          <w:i/>
          <w:iCs/>
        </w:rPr>
      </w:pPr>
      <w:r w:rsidRPr="008C5CAB">
        <w:rPr>
          <w:i/>
          <w:iCs/>
        </w:rPr>
        <w:lastRenderedPageBreak/>
        <w:t>Enrolment</w:t>
      </w:r>
    </w:p>
    <w:p w14:paraId="7A23C48C" w14:textId="5A61A88F" w:rsidR="00CE20AE" w:rsidRDefault="00CE20AE" w:rsidP="002436D8">
      <w:r>
        <w:t xml:space="preserve">Application and enrolment data was gathered from internal systems. Basic data was prepared based on different levels of participation in the </w:t>
      </w:r>
      <w:r w:rsidR="00F27CF1">
        <w:t>programme and</w:t>
      </w:r>
      <w:r>
        <w:t xml:space="preserve"> was also compared to the previous year.</w:t>
      </w:r>
    </w:p>
    <w:p w14:paraId="7A80A80C" w14:textId="42B6CEAE" w:rsidR="005554E1" w:rsidRDefault="7D673F55" w:rsidP="00176CC6">
      <w:pPr>
        <w:pStyle w:val="Heading2"/>
      </w:pPr>
      <w:bookmarkStart w:id="18" w:name="_Toc227058298"/>
      <w:r>
        <w:t>Type of evaluation</w:t>
      </w:r>
      <w:bookmarkEnd w:id="18"/>
    </w:p>
    <w:p w14:paraId="012FC75A" w14:textId="3FD02CC7" w:rsidR="008E4A6B" w:rsidRDefault="008E4A6B" w:rsidP="005554E1">
      <w:r w:rsidRPr="008E4A6B">
        <w:t xml:space="preserve">This evaluation was conducted to Type 2, according to the Office for Students’ Standard of Evidence classification. The intermediate outcomes were measured pre- and post- activity, with the same participants. The long-term outcome was measured and analysed against a comparator group comprising similar students who did not </w:t>
      </w:r>
      <w:r w:rsidR="006202E5">
        <w:t>participate in Access Reading</w:t>
      </w:r>
      <w:r w:rsidRPr="008E4A6B">
        <w:t>. Therefore, from the data, we can make associations but not causal conclusions. </w:t>
      </w:r>
    </w:p>
    <w:p w14:paraId="79AD3AD5" w14:textId="34309BE9" w:rsidR="005554E1" w:rsidRDefault="7D673F55" w:rsidP="00176CC6">
      <w:pPr>
        <w:pStyle w:val="Heading2"/>
      </w:pPr>
      <w:bookmarkStart w:id="19" w:name="_Toc227058299"/>
      <w:r>
        <w:t>Limitations</w:t>
      </w:r>
      <w:bookmarkEnd w:id="19"/>
    </w:p>
    <w:p w14:paraId="229F0EA4" w14:textId="01163CCE" w:rsidR="0050273C" w:rsidRPr="0050273C" w:rsidRDefault="0050273C" w:rsidP="0050273C">
      <w:r w:rsidRPr="0050273C">
        <w:t xml:space="preserve">The nature of the evaluation type means that causal inferences cannot be made from any results – there may have been other factors influencing the students. As with many evaluations of activities in the complex landscape of higher education, it can be challenging to link activities directly to causes. Furthermore, as </w:t>
      </w:r>
      <w:r>
        <w:t>Access Reading</w:t>
      </w:r>
      <w:r w:rsidRPr="0050273C">
        <w:t xml:space="preserve"> participants </w:t>
      </w:r>
      <w:r>
        <w:t>were</w:t>
      </w:r>
      <w:r w:rsidRPr="0050273C">
        <w:t xml:space="preserve"> self-selecting, we may encounter </w:t>
      </w:r>
      <w:r w:rsidR="00342850">
        <w:t>pro-Reading bias</w:t>
      </w:r>
      <w:r w:rsidRPr="0050273C">
        <w:t xml:space="preserve">; with those signing up to take part in </w:t>
      </w:r>
      <w:r w:rsidR="00342850">
        <w:t>Access Reading</w:t>
      </w:r>
      <w:r w:rsidRPr="0050273C">
        <w:t xml:space="preserve"> also being more</w:t>
      </w:r>
      <w:r w:rsidR="00342850">
        <w:t xml:space="preserve"> interested in attending the University of Reading in comparison to those who did not engage.</w:t>
      </w:r>
    </w:p>
    <w:p w14:paraId="4B018105" w14:textId="5B10B14B" w:rsidR="0050273C" w:rsidRPr="0050273C" w:rsidRDefault="00342850" w:rsidP="0050273C">
      <w:r>
        <w:t>Out of the 377 participants, only 18 completed all three surveys</w:t>
      </w:r>
      <w:r w:rsidR="00E55941">
        <w:t xml:space="preserve"> (Group 3) and so any conclusions drawn must recognise that this was a small sample of the cohort. </w:t>
      </w:r>
    </w:p>
    <w:p w14:paraId="76C393C4" w14:textId="29708CA1" w:rsidR="00E55941" w:rsidRDefault="0050273C" w:rsidP="0050273C">
      <w:r w:rsidRPr="0050273C">
        <w:t xml:space="preserve">As with all self-reported data, there is the risk that participants report what they think the researchers want to know, rather than how they really feel. </w:t>
      </w:r>
      <w:r w:rsidR="00E55941">
        <w:t>This may be further enhanced with students being offered a prize draw entry for survey 1 and survey 3</w:t>
      </w:r>
      <w:r w:rsidR="00EF6C38">
        <w:t>, even though the terms and conditions laid out that completion, rather than selected answers, impacted the prize draw.</w:t>
      </w:r>
    </w:p>
    <w:p w14:paraId="07923AE2" w14:textId="24D281C2" w:rsidR="00EF6C38" w:rsidRDefault="00EF6C38" w:rsidP="0050273C">
      <w:r>
        <w:t xml:space="preserve">Similarly, survey 2 was conducted at the end of the in-person event. Therefore, participants may </w:t>
      </w:r>
      <w:r w:rsidR="003B3C2B">
        <w:t>be</w:t>
      </w:r>
      <w:r w:rsidR="000177D5">
        <w:t xml:space="preserve"> influenced by their peers in the completion of this.</w:t>
      </w:r>
      <w:r w:rsidR="005C17D0">
        <w:t xml:space="preserve"> </w:t>
      </w:r>
    </w:p>
    <w:p w14:paraId="13BF75AF" w14:textId="2990D251" w:rsidR="0050273C" w:rsidRPr="0050273C" w:rsidRDefault="0050273C" w:rsidP="0050273C">
      <w:r w:rsidRPr="0050273C">
        <w:t>Additionally, there was no</w:t>
      </w:r>
      <w:r w:rsidR="00E55941">
        <w:t xml:space="preserve"> longer term</w:t>
      </w:r>
      <w:r w:rsidRPr="0050273C">
        <w:t xml:space="preserve"> follow-up, so we cannot be sure that positive effects continued </w:t>
      </w:r>
      <w:r w:rsidR="00E55941">
        <w:t xml:space="preserve">into students’ enrolment, although the 2026 report will </w:t>
      </w:r>
      <w:r w:rsidR="001E6BFB">
        <w:t xml:space="preserve">aim to </w:t>
      </w:r>
      <w:r w:rsidR="00E55941">
        <w:t>include Access Reading 2025 participants level of progression to Year 2 of their degree</w:t>
      </w:r>
      <w:r w:rsidRPr="0050273C">
        <w:t>.</w:t>
      </w:r>
    </w:p>
    <w:p w14:paraId="5893F6D2" w14:textId="244E85D3" w:rsidR="005554E1" w:rsidRDefault="7D673F55" w:rsidP="000E1558">
      <w:pPr>
        <w:pStyle w:val="Heading1"/>
      </w:pPr>
      <w:bookmarkStart w:id="20" w:name="_Toc227058300"/>
      <w:r>
        <w:t>Results</w:t>
      </w:r>
      <w:bookmarkEnd w:id="20"/>
    </w:p>
    <w:p w14:paraId="49F49AA7" w14:textId="7FA0D263" w:rsidR="54E55BF4" w:rsidRDefault="54E55BF4" w:rsidP="00573D18">
      <w:pPr>
        <w:pStyle w:val="Heading2"/>
      </w:pPr>
      <w:bookmarkStart w:id="21" w:name="_Toc227058301"/>
      <w:r w:rsidRPr="2E32142D">
        <w:t xml:space="preserve">Survey </w:t>
      </w:r>
      <w:r w:rsidR="00573D18">
        <w:t>Results</w:t>
      </w:r>
      <w:bookmarkEnd w:id="21"/>
    </w:p>
    <w:p w14:paraId="2001609C" w14:textId="039B7AFD" w:rsidR="005E2547" w:rsidRDefault="54E55BF4" w:rsidP="005E2547">
      <w:r w:rsidRPr="2E32142D">
        <w:lastRenderedPageBreak/>
        <w:t>Although the</w:t>
      </w:r>
      <w:r w:rsidR="00460755">
        <w:t xml:space="preserve"> numbers above reflect</w:t>
      </w:r>
      <w:r w:rsidRPr="2E32142D">
        <w:t xml:space="preserve"> participat</w:t>
      </w:r>
      <w:r w:rsidR="00460755">
        <w:t xml:space="preserve">ion </w:t>
      </w:r>
      <w:r w:rsidRPr="2E32142D">
        <w:t>in the programme, not all participants responded to the surveys.</w:t>
      </w:r>
    </w:p>
    <w:p w14:paraId="199CD43D" w14:textId="0C45FE80" w:rsidR="005E2547" w:rsidRPr="005E2547" w:rsidRDefault="00917A83" w:rsidP="00654B8F">
      <w:pPr>
        <w:pStyle w:val="ListParagraph"/>
        <w:numPr>
          <w:ilvl w:val="0"/>
          <w:numId w:val="18"/>
        </w:numPr>
      </w:pPr>
      <w:r>
        <w:t>Survey 1, completed online, returned</w:t>
      </w:r>
      <w:r w:rsidR="2F8BDE53">
        <w:t xml:space="preserve"> 86 usable responses. A further 12 responses were recorded but they contained inappropriate and unrelated responses</w:t>
      </w:r>
      <w:r w:rsidR="6F4CC808">
        <w:t>.</w:t>
      </w:r>
    </w:p>
    <w:p w14:paraId="68F72B8C" w14:textId="65692642" w:rsidR="005E2547" w:rsidRPr="005E2547" w:rsidRDefault="4CD883E4" w:rsidP="00654B8F">
      <w:pPr>
        <w:pStyle w:val="ListParagraph"/>
        <w:numPr>
          <w:ilvl w:val="0"/>
          <w:numId w:val="18"/>
        </w:numPr>
      </w:pPr>
      <w:r>
        <w:t>Survey 2, completed at the in-person event</w:t>
      </w:r>
      <w:r w:rsidR="795A8DAC">
        <w:t xml:space="preserve">, had 124 respondents. Some </w:t>
      </w:r>
      <w:r w:rsidR="00943C0C">
        <w:t xml:space="preserve">participants </w:t>
      </w:r>
      <w:r w:rsidR="795A8DAC">
        <w:t xml:space="preserve">missed the final session </w:t>
      </w:r>
      <w:r w:rsidR="0948590B">
        <w:t xml:space="preserve">including survey completion </w:t>
      </w:r>
      <w:r w:rsidR="795A8DAC">
        <w:t>due to one group making an error with timings.</w:t>
      </w:r>
    </w:p>
    <w:p w14:paraId="1A3CC8A9" w14:textId="7D4C08B6" w:rsidR="795A8DAC" w:rsidRPr="005E2547" w:rsidRDefault="795A8DAC" w:rsidP="00654B8F">
      <w:pPr>
        <w:pStyle w:val="ListParagraph"/>
        <w:numPr>
          <w:ilvl w:val="0"/>
          <w:numId w:val="18"/>
        </w:numPr>
        <w:rPr>
          <w:szCs w:val="24"/>
        </w:rPr>
      </w:pPr>
      <w:r w:rsidRPr="005E2547">
        <w:rPr>
          <w:szCs w:val="24"/>
        </w:rPr>
        <w:t>Survey 3, completed online, had 44 responses.</w:t>
      </w:r>
    </w:p>
    <w:p w14:paraId="2BC49D5A" w14:textId="77777777" w:rsidR="005E2547" w:rsidRDefault="005E2547" w:rsidP="2E32142D">
      <w:pPr>
        <w:rPr>
          <w:szCs w:val="24"/>
        </w:rPr>
      </w:pPr>
    </w:p>
    <w:p w14:paraId="2369F094" w14:textId="77777777" w:rsidR="005C274D" w:rsidRDefault="795A8DAC" w:rsidP="2E32142D">
      <w:pPr>
        <w:rPr>
          <w:szCs w:val="24"/>
        </w:rPr>
      </w:pPr>
      <w:r w:rsidRPr="2E32142D">
        <w:rPr>
          <w:szCs w:val="24"/>
        </w:rPr>
        <w:t xml:space="preserve">In addition to the overall survey completion, this evaluation sought to </w:t>
      </w:r>
      <w:r w:rsidR="4A33E032" w:rsidRPr="2E32142D">
        <w:rPr>
          <w:szCs w:val="24"/>
        </w:rPr>
        <w:t>assess</w:t>
      </w:r>
      <w:r w:rsidRPr="2E32142D">
        <w:rPr>
          <w:szCs w:val="24"/>
        </w:rPr>
        <w:t xml:space="preserve"> how the programme changed </w:t>
      </w:r>
      <w:r w:rsidR="00943C0C">
        <w:t>participants</w:t>
      </w:r>
      <w:r w:rsidR="00943C0C">
        <w:rPr>
          <w:szCs w:val="24"/>
        </w:rPr>
        <w:t xml:space="preserve">’ </w:t>
      </w:r>
      <w:r w:rsidR="66F6ED45" w:rsidRPr="2E32142D">
        <w:rPr>
          <w:szCs w:val="24"/>
        </w:rPr>
        <w:t xml:space="preserve">sentiments and knowledge around progression to higher education. </w:t>
      </w:r>
    </w:p>
    <w:p w14:paraId="2CA13ADF" w14:textId="77777777" w:rsidR="00B215CD" w:rsidRDefault="005C274D" w:rsidP="2E32142D">
      <w:pPr>
        <w:rPr>
          <w:szCs w:val="24"/>
        </w:rPr>
      </w:pPr>
      <w:r>
        <w:rPr>
          <w:szCs w:val="24"/>
        </w:rPr>
        <w:t xml:space="preserve">This required participants to complete Survey 1, as a baseline, </w:t>
      </w:r>
      <w:r w:rsidR="00B215CD">
        <w:rPr>
          <w:szCs w:val="24"/>
        </w:rPr>
        <w:t>and at least one further survey.</w:t>
      </w:r>
    </w:p>
    <w:p w14:paraId="0DC90845" w14:textId="60A467A7" w:rsidR="795A8DAC" w:rsidRDefault="2FD64E21" w:rsidP="2E32142D">
      <w:pPr>
        <w:rPr>
          <w:szCs w:val="24"/>
        </w:rPr>
      </w:pPr>
      <w:r w:rsidRPr="2E32142D">
        <w:rPr>
          <w:szCs w:val="24"/>
        </w:rPr>
        <w:t>The sample sizes</w:t>
      </w:r>
      <w:r w:rsidR="00B215CD">
        <w:rPr>
          <w:szCs w:val="24"/>
        </w:rPr>
        <w:t xml:space="preserve"> collected which could measure</w:t>
      </w:r>
      <w:r w:rsidRPr="2E32142D">
        <w:rPr>
          <w:szCs w:val="24"/>
        </w:rPr>
        <w:t xml:space="preserve"> change </w:t>
      </w:r>
      <w:r w:rsidR="1E97278A" w:rsidRPr="2E32142D">
        <w:rPr>
          <w:szCs w:val="24"/>
        </w:rPr>
        <w:t xml:space="preserve">from Survey 1’s baseline </w:t>
      </w:r>
      <w:r w:rsidR="00B215CD">
        <w:rPr>
          <w:szCs w:val="24"/>
        </w:rPr>
        <w:t>were</w:t>
      </w:r>
      <w:r w:rsidRPr="2E32142D">
        <w:rPr>
          <w:szCs w:val="24"/>
        </w:rPr>
        <w:t xml:space="preserve"> as follows:</w:t>
      </w:r>
    </w:p>
    <w:p w14:paraId="77432C4B" w14:textId="381ADB51" w:rsidR="2FD64E21" w:rsidRDefault="2FD64E21" w:rsidP="2E32142D">
      <w:pPr>
        <w:pStyle w:val="ListParagraph"/>
      </w:pPr>
      <w:r>
        <w:t xml:space="preserve">49 </w:t>
      </w:r>
      <w:r w:rsidR="00943C0C">
        <w:t xml:space="preserve">participants </w:t>
      </w:r>
      <w:r>
        <w:t>completed both Survey 1 and Survey 2</w:t>
      </w:r>
      <w:r w:rsidR="398BE424">
        <w:t xml:space="preserve"> (Group 1)</w:t>
      </w:r>
      <w:r>
        <w:t>.</w:t>
      </w:r>
    </w:p>
    <w:p w14:paraId="21248A9A" w14:textId="41D80C9E" w:rsidR="367F83E1" w:rsidRDefault="367F83E1" w:rsidP="2E32142D">
      <w:pPr>
        <w:pStyle w:val="ListParagraph"/>
      </w:pPr>
      <w:r>
        <w:t xml:space="preserve">27 </w:t>
      </w:r>
      <w:r w:rsidR="00943C0C">
        <w:t xml:space="preserve">participants </w:t>
      </w:r>
      <w:r>
        <w:t>completed both Survey 1 and Survey 3</w:t>
      </w:r>
      <w:r w:rsidR="38538654">
        <w:t xml:space="preserve"> (Group 2)</w:t>
      </w:r>
      <w:r w:rsidR="78D4445D">
        <w:t>.</w:t>
      </w:r>
    </w:p>
    <w:p w14:paraId="05F05AEE" w14:textId="1868DCF2" w:rsidR="367F83E1" w:rsidRDefault="367F83E1" w:rsidP="2E32142D">
      <w:pPr>
        <w:pStyle w:val="ListParagraph"/>
      </w:pPr>
      <w:r>
        <w:t xml:space="preserve">18 </w:t>
      </w:r>
      <w:r w:rsidR="00943C0C">
        <w:t xml:space="preserve">participants </w:t>
      </w:r>
      <w:r>
        <w:t>completed Survey 1, Survey 2 and Survey 3</w:t>
      </w:r>
      <w:r w:rsidR="62ED266E">
        <w:t xml:space="preserve"> (Group 3).</w:t>
      </w:r>
    </w:p>
    <w:p w14:paraId="31ED5D3D" w14:textId="79FC8787" w:rsidR="2E32142D" w:rsidRDefault="2E32142D" w:rsidP="2E32142D"/>
    <w:p w14:paraId="38EFD895" w14:textId="435DFBD6" w:rsidR="0041391D" w:rsidRDefault="57989702" w:rsidP="2E32142D">
      <w:r>
        <w:t>The</w:t>
      </w:r>
      <w:r w:rsidR="0041391D">
        <w:t xml:space="preserve">se three </w:t>
      </w:r>
      <w:r w:rsidR="00F4694E">
        <w:t>samples form three groups of data, the results of which were analysed to assess the programme.</w:t>
      </w:r>
      <w:r w:rsidR="00C81013">
        <w:t xml:space="preserve"> </w:t>
      </w:r>
    </w:p>
    <w:p w14:paraId="108D73A8" w14:textId="05D84D43" w:rsidR="00E20C23" w:rsidRDefault="00C81013" w:rsidP="2E32142D">
      <w:r>
        <w:t xml:space="preserve">There is a caveat from these results that </w:t>
      </w:r>
      <w:r w:rsidR="001C1ADC">
        <w:t>as well as the sample size reducing across the three groups, the population of the three groups is not consistent between Group 1 and Group 2</w:t>
      </w:r>
      <w:r w:rsidR="00C41685">
        <w:t xml:space="preserve">, meaning that not </w:t>
      </w:r>
      <w:r w:rsidR="005A1E9B">
        <w:t>all</w:t>
      </w:r>
      <w:r w:rsidR="00C41685">
        <w:t xml:space="preserve"> the population may have participated in the whole programme. For example, </w:t>
      </w:r>
      <w:r w:rsidR="005A1E9B">
        <w:t>several</w:t>
      </w:r>
      <w:r w:rsidR="00C41685">
        <w:t xml:space="preserve"> participants in Group 2 </w:t>
      </w:r>
      <w:r w:rsidR="005A1E9B">
        <w:t>did</w:t>
      </w:r>
      <w:r w:rsidR="00C41685">
        <w:t xml:space="preserve"> not attend the in-person event. </w:t>
      </w:r>
      <w:r w:rsidR="00687189">
        <w:t>As a result, Group 3 was created, so that we can assess the programme’s impact as a whole entity, albeit with a smaller sample size.</w:t>
      </w:r>
      <w:r w:rsidR="001C1ADC">
        <w:t xml:space="preserve"> </w:t>
      </w:r>
    </w:p>
    <w:p w14:paraId="5A4EB89B" w14:textId="058C9DB2" w:rsidR="00AD4141" w:rsidRDefault="00F4694E" w:rsidP="2E32142D">
      <w:pPr>
        <w:sectPr w:rsidR="00AD4141" w:rsidSect="005E0596">
          <w:headerReference w:type="default" r:id="rId14"/>
          <w:footerReference w:type="default" r:id="rId15"/>
          <w:headerReference w:type="first" r:id="rId16"/>
          <w:footerReference w:type="first" r:id="rId17"/>
          <w:pgSz w:w="11906" w:h="16840"/>
          <w:pgMar w:top="1418" w:right="737" w:bottom="1134" w:left="1701" w:header="708" w:footer="708" w:gutter="0"/>
          <w:cols w:space="708"/>
          <w:titlePg/>
          <w:docGrid w:linePitch="360"/>
        </w:sectPr>
      </w:pPr>
      <w:r>
        <w:t>The</w:t>
      </w:r>
      <w:r w:rsidR="57989702">
        <w:t xml:space="preserve"> following </w:t>
      </w:r>
      <w:r w:rsidR="0041391D">
        <w:t>results were</w:t>
      </w:r>
      <w:r w:rsidR="57989702">
        <w:t xml:space="preserve"> gathered from the </w:t>
      </w:r>
      <w:r>
        <w:t>three groups</w:t>
      </w:r>
      <w:r w:rsidR="00C61DF0">
        <w:t>. Note that S1 refers to survey 1, S2 to survey 2 and S3 to survey 3</w:t>
      </w:r>
      <w:r>
        <w:t>:</w:t>
      </w:r>
    </w:p>
    <w:tbl>
      <w:tblPr>
        <w:tblStyle w:val="TableGrid"/>
        <w:tblW w:w="16047" w:type="dxa"/>
        <w:jc w:val="center"/>
        <w:tblLayout w:type="fixed"/>
        <w:tblLook w:val="04A0" w:firstRow="1" w:lastRow="0" w:firstColumn="1" w:lastColumn="0" w:noHBand="0" w:noVBand="1"/>
      </w:tblPr>
      <w:tblGrid>
        <w:gridCol w:w="1586"/>
        <w:gridCol w:w="1155"/>
        <w:gridCol w:w="1155"/>
        <w:gridCol w:w="1626"/>
        <w:gridCol w:w="852"/>
        <w:gridCol w:w="1134"/>
        <w:gridCol w:w="1134"/>
        <w:gridCol w:w="1702"/>
        <w:gridCol w:w="853"/>
        <w:gridCol w:w="1134"/>
        <w:gridCol w:w="1134"/>
        <w:gridCol w:w="1702"/>
        <w:gridCol w:w="880"/>
      </w:tblGrid>
      <w:tr w:rsidR="00C00C58" w14:paraId="36E7CD7F" w14:textId="4EE982E4" w:rsidTr="006E61E7">
        <w:trPr>
          <w:trHeight w:val="1396"/>
          <w:jc w:val="center"/>
        </w:trPr>
        <w:tc>
          <w:tcPr>
            <w:tcW w:w="1586" w:type="dxa"/>
            <w:shd w:val="clear" w:color="auto" w:fill="E0E0E1" w:themeFill="background2"/>
            <w:vAlign w:val="center"/>
          </w:tcPr>
          <w:p w14:paraId="0E2A512B" w14:textId="3A558BEC" w:rsidR="00BC798F" w:rsidRPr="00637B2F" w:rsidRDefault="00BC798F" w:rsidP="00BC798F">
            <w:pPr>
              <w:rPr>
                <w:rFonts w:cs="Arial"/>
                <w:szCs w:val="24"/>
              </w:rPr>
            </w:pPr>
          </w:p>
        </w:tc>
        <w:tc>
          <w:tcPr>
            <w:tcW w:w="1155" w:type="dxa"/>
            <w:shd w:val="clear" w:color="auto" w:fill="E0E0E1" w:themeFill="background2"/>
            <w:vAlign w:val="center"/>
          </w:tcPr>
          <w:p w14:paraId="7BF0E8D1" w14:textId="787FAB59" w:rsidR="00BC798F" w:rsidRDefault="004627E7" w:rsidP="00BC798F">
            <w:pPr>
              <w:jc w:val="center"/>
              <w:rPr>
                <w:rFonts w:cs="Arial"/>
                <w:b/>
                <w:bCs/>
                <w:sz w:val="22"/>
              </w:rPr>
            </w:pPr>
            <w:r>
              <w:rPr>
                <w:rFonts w:cs="Arial"/>
                <w:b/>
                <w:bCs/>
                <w:sz w:val="22"/>
              </w:rPr>
              <w:t>G</w:t>
            </w:r>
            <w:r w:rsidR="00E20C23">
              <w:rPr>
                <w:rFonts w:cs="Arial"/>
                <w:b/>
                <w:bCs/>
                <w:sz w:val="22"/>
              </w:rPr>
              <w:t xml:space="preserve">roup </w:t>
            </w:r>
            <w:r>
              <w:rPr>
                <w:rFonts w:cs="Arial"/>
                <w:b/>
                <w:bCs/>
                <w:sz w:val="22"/>
              </w:rPr>
              <w:t xml:space="preserve">1 </w:t>
            </w:r>
            <w:r w:rsidR="00BC798F" w:rsidRPr="00852CAC">
              <w:rPr>
                <w:rFonts w:cs="Arial"/>
                <w:b/>
                <w:bCs/>
                <w:sz w:val="22"/>
              </w:rPr>
              <w:t>Mean S1</w:t>
            </w:r>
          </w:p>
          <w:p w14:paraId="0878A9C7" w14:textId="642098ED" w:rsidR="00BC798F" w:rsidRPr="0072748E" w:rsidRDefault="00BC798F" w:rsidP="00BC798F">
            <w:pPr>
              <w:jc w:val="center"/>
              <w:rPr>
                <w:rFonts w:cs="Arial"/>
                <w:b/>
                <w:bCs/>
                <w:i/>
                <w:iCs/>
                <w:sz w:val="22"/>
              </w:rPr>
            </w:pPr>
            <w:r w:rsidRPr="0072748E">
              <w:rPr>
                <w:rFonts w:cs="Arial"/>
                <w:b/>
                <w:bCs/>
                <w:i/>
                <w:iCs/>
                <w:sz w:val="22"/>
              </w:rPr>
              <w:t>(SD)</w:t>
            </w:r>
          </w:p>
        </w:tc>
        <w:tc>
          <w:tcPr>
            <w:tcW w:w="1155" w:type="dxa"/>
            <w:shd w:val="clear" w:color="auto" w:fill="E0E0E1" w:themeFill="background2"/>
            <w:vAlign w:val="center"/>
          </w:tcPr>
          <w:p w14:paraId="44732F67" w14:textId="7ACA5CD4" w:rsidR="00BC798F" w:rsidRDefault="004627E7" w:rsidP="00BC798F">
            <w:pPr>
              <w:jc w:val="center"/>
              <w:rPr>
                <w:rFonts w:cs="Arial"/>
                <w:b/>
                <w:bCs/>
                <w:sz w:val="22"/>
              </w:rPr>
            </w:pPr>
            <w:r>
              <w:rPr>
                <w:rFonts w:cs="Arial"/>
                <w:b/>
                <w:bCs/>
                <w:sz w:val="22"/>
              </w:rPr>
              <w:t>G</w:t>
            </w:r>
            <w:r w:rsidR="00E20C23">
              <w:rPr>
                <w:rFonts w:cs="Arial"/>
                <w:b/>
                <w:bCs/>
                <w:sz w:val="22"/>
              </w:rPr>
              <w:t xml:space="preserve">roup </w:t>
            </w:r>
            <w:r>
              <w:rPr>
                <w:rFonts w:cs="Arial"/>
                <w:b/>
                <w:bCs/>
                <w:sz w:val="22"/>
              </w:rPr>
              <w:t xml:space="preserve">1 </w:t>
            </w:r>
            <w:r w:rsidR="00BC798F" w:rsidRPr="00852CAC">
              <w:rPr>
                <w:rFonts w:cs="Arial"/>
                <w:b/>
                <w:bCs/>
                <w:sz w:val="22"/>
              </w:rPr>
              <w:t>Mean S</w:t>
            </w:r>
            <w:r w:rsidR="00BC798F">
              <w:rPr>
                <w:rFonts w:cs="Arial"/>
                <w:b/>
                <w:bCs/>
                <w:sz w:val="22"/>
              </w:rPr>
              <w:t>2</w:t>
            </w:r>
          </w:p>
          <w:p w14:paraId="1ADE6C73" w14:textId="11EE6CE5" w:rsidR="00BC798F" w:rsidRPr="0072748E" w:rsidRDefault="00BC798F" w:rsidP="00BC798F">
            <w:pPr>
              <w:jc w:val="center"/>
              <w:rPr>
                <w:rFonts w:cs="Arial"/>
                <w:b/>
                <w:bCs/>
                <w:i/>
                <w:iCs/>
                <w:sz w:val="22"/>
              </w:rPr>
            </w:pPr>
            <w:r w:rsidRPr="0072748E">
              <w:rPr>
                <w:rFonts w:cs="Arial"/>
                <w:b/>
                <w:bCs/>
                <w:i/>
                <w:iCs/>
                <w:sz w:val="22"/>
              </w:rPr>
              <w:t>(SD)</w:t>
            </w:r>
          </w:p>
        </w:tc>
        <w:tc>
          <w:tcPr>
            <w:tcW w:w="1626" w:type="dxa"/>
            <w:shd w:val="clear" w:color="auto" w:fill="E0E0E1" w:themeFill="background2"/>
            <w:vAlign w:val="center"/>
          </w:tcPr>
          <w:p w14:paraId="1815F1E4" w14:textId="2BFB13C8" w:rsidR="00BC798F" w:rsidRPr="00852CAC" w:rsidRDefault="004627E7" w:rsidP="00BC798F">
            <w:pPr>
              <w:jc w:val="center"/>
              <w:rPr>
                <w:rFonts w:cs="Arial"/>
                <w:b/>
                <w:bCs/>
                <w:sz w:val="22"/>
              </w:rPr>
            </w:pPr>
            <w:r>
              <w:rPr>
                <w:rFonts w:cs="Arial"/>
                <w:b/>
                <w:bCs/>
                <w:sz w:val="22"/>
              </w:rPr>
              <w:t>G</w:t>
            </w:r>
            <w:r w:rsidR="00E20C23">
              <w:rPr>
                <w:rFonts w:cs="Arial"/>
                <w:b/>
                <w:bCs/>
                <w:sz w:val="22"/>
              </w:rPr>
              <w:t xml:space="preserve">roup </w:t>
            </w:r>
            <w:r>
              <w:rPr>
                <w:rFonts w:cs="Arial"/>
                <w:b/>
                <w:bCs/>
                <w:sz w:val="22"/>
              </w:rPr>
              <w:t xml:space="preserve">1 </w:t>
            </w:r>
            <w:r w:rsidR="00BC798F" w:rsidRPr="00852CAC">
              <w:rPr>
                <w:rFonts w:cs="Arial"/>
                <w:b/>
                <w:bCs/>
                <w:sz w:val="22"/>
              </w:rPr>
              <w:t>Statistical Test</w:t>
            </w:r>
          </w:p>
        </w:tc>
        <w:tc>
          <w:tcPr>
            <w:tcW w:w="852" w:type="dxa"/>
            <w:shd w:val="clear" w:color="auto" w:fill="E0E0E1" w:themeFill="background2"/>
            <w:vAlign w:val="center"/>
          </w:tcPr>
          <w:p w14:paraId="1CED6CF4" w14:textId="25B02807" w:rsidR="00BC798F" w:rsidRPr="00852CAC" w:rsidRDefault="004627E7" w:rsidP="00BC798F">
            <w:pPr>
              <w:jc w:val="center"/>
              <w:rPr>
                <w:rFonts w:cs="Arial"/>
                <w:b/>
                <w:bCs/>
                <w:sz w:val="22"/>
              </w:rPr>
            </w:pPr>
            <w:r>
              <w:rPr>
                <w:rFonts w:cs="Arial"/>
                <w:b/>
                <w:bCs/>
                <w:sz w:val="22"/>
              </w:rPr>
              <w:t>G</w:t>
            </w:r>
            <w:r w:rsidR="00E20C23">
              <w:rPr>
                <w:rFonts w:cs="Arial"/>
                <w:b/>
                <w:bCs/>
                <w:sz w:val="22"/>
              </w:rPr>
              <w:t xml:space="preserve">roup </w:t>
            </w:r>
            <w:r>
              <w:rPr>
                <w:rFonts w:cs="Arial"/>
                <w:b/>
                <w:bCs/>
                <w:sz w:val="22"/>
              </w:rPr>
              <w:t xml:space="preserve">1 </w:t>
            </w:r>
            <w:r w:rsidR="00BC798F" w:rsidRPr="00852CAC">
              <w:rPr>
                <w:rFonts w:cs="Arial"/>
                <w:b/>
                <w:bCs/>
                <w:sz w:val="22"/>
              </w:rPr>
              <w:t>Effect size</w:t>
            </w:r>
          </w:p>
        </w:tc>
        <w:tc>
          <w:tcPr>
            <w:tcW w:w="1134" w:type="dxa"/>
            <w:shd w:val="clear" w:color="auto" w:fill="E0E0E1" w:themeFill="background2"/>
            <w:vAlign w:val="center"/>
          </w:tcPr>
          <w:p w14:paraId="67DA6F98" w14:textId="7937DF1F" w:rsidR="00BC798F" w:rsidRDefault="004627E7" w:rsidP="00BC798F">
            <w:pPr>
              <w:jc w:val="center"/>
              <w:rPr>
                <w:rFonts w:cs="Arial"/>
                <w:b/>
                <w:bCs/>
                <w:sz w:val="22"/>
              </w:rPr>
            </w:pPr>
            <w:r>
              <w:rPr>
                <w:rFonts w:cs="Arial"/>
                <w:b/>
                <w:bCs/>
                <w:sz w:val="22"/>
              </w:rPr>
              <w:t>G</w:t>
            </w:r>
            <w:r w:rsidR="00E20C23">
              <w:rPr>
                <w:rFonts w:cs="Arial"/>
                <w:b/>
                <w:bCs/>
                <w:sz w:val="22"/>
              </w:rPr>
              <w:t xml:space="preserve">roup </w:t>
            </w:r>
            <w:r>
              <w:rPr>
                <w:rFonts w:cs="Arial"/>
                <w:b/>
                <w:bCs/>
                <w:sz w:val="22"/>
              </w:rPr>
              <w:t xml:space="preserve">2 </w:t>
            </w:r>
            <w:r w:rsidR="00BC798F" w:rsidRPr="00852CAC">
              <w:rPr>
                <w:rFonts w:cs="Arial"/>
                <w:b/>
                <w:bCs/>
                <w:sz w:val="22"/>
              </w:rPr>
              <w:t>Mean S1</w:t>
            </w:r>
          </w:p>
          <w:p w14:paraId="5B799E29" w14:textId="41F81314" w:rsidR="00BC798F" w:rsidRPr="0072748E" w:rsidRDefault="00BC798F" w:rsidP="00BC798F">
            <w:pPr>
              <w:jc w:val="center"/>
              <w:rPr>
                <w:rFonts w:cs="Arial"/>
                <w:b/>
                <w:bCs/>
                <w:i/>
                <w:iCs/>
                <w:sz w:val="22"/>
              </w:rPr>
            </w:pPr>
            <w:r w:rsidRPr="0072748E">
              <w:rPr>
                <w:rFonts w:cs="Arial"/>
                <w:b/>
                <w:bCs/>
                <w:i/>
                <w:iCs/>
                <w:sz w:val="22"/>
              </w:rPr>
              <w:t>(SD)</w:t>
            </w:r>
          </w:p>
        </w:tc>
        <w:tc>
          <w:tcPr>
            <w:tcW w:w="1134" w:type="dxa"/>
            <w:shd w:val="clear" w:color="auto" w:fill="E0E0E1" w:themeFill="background2"/>
            <w:vAlign w:val="center"/>
          </w:tcPr>
          <w:p w14:paraId="68C27E62" w14:textId="268101C5" w:rsidR="00BC798F" w:rsidRDefault="004627E7" w:rsidP="00BC798F">
            <w:pPr>
              <w:jc w:val="center"/>
              <w:rPr>
                <w:rFonts w:cs="Arial"/>
                <w:b/>
                <w:bCs/>
                <w:sz w:val="22"/>
              </w:rPr>
            </w:pPr>
            <w:r>
              <w:rPr>
                <w:rFonts w:cs="Arial"/>
                <w:b/>
                <w:bCs/>
                <w:sz w:val="22"/>
              </w:rPr>
              <w:t>G</w:t>
            </w:r>
            <w:r w:rsidR="00E20C23">
              <w:rPr>
                <w:rFonts w:cs="Arial"/>
                <w:b/>
                <w:bCs/>
                <w:sz w:val="22"/>
              </w:rPr>
              <w:t xml:space="preserve">roup </w:t>
            </w:r>
            <w:r>
              <w:rPr>
                <w:rFonts w:cs="Arial"/>
                <w:b/>
                <w:bCs/>
                <w:sz w:val="22"/>
              </w:rPr>
              <w:t xml:space="preserve">2 </w:t>
            </w:r>
            <w:r w:rsidR="00BC798F" w:rsidRPr="00852CAC">
              <w:rPr>
                <w:rFonts w:cs="Arial"/>
                <w:b/>
                <w:bCs/>
                <w:sz w:val="22"/>
              </w:rPr>
              <w:t>Mean S3</w:t>
            </w:r>
          </w:p>
          <w:p w14:paraId="2C9E6972" w14:textId="08776BD8" w:rsidR="00BC798F" w:rsidRPr="0072748E" w:rsidRDefault="00BC798F" w:rsidP="00BC798F">
            <w:pPr>
              <w:jc w:val="center"/>
              <w:rPr>
                <w:rFonts w:cs="Arial"/>
                <w:b/>
                <w:bCs/>
                <w:i/>
                <w:iCs/>
                <w:sz w:val="22"/>
              </w:rPr>
            </w:pPr>
            <w:r w:rsidRPr="0072748E">
              <w:rPr>
                <w:rFonts w:cs="Arial"/>
                <w:b/>
                <w:bCs/>
                <w:i/>
                <w:iCs/>
                <w:sz w:val="22"/>
              </w:rPr>
              <w:t>(SD)</w:t>
            </w:r>
          </w:p>
        </w:tc>
        <w:tc>
          <w:tcPr>
            <w:tcW w:w="1702" w:type="dxa"/>
            <w:shd w:val="clear" w:color="auto" w:fill="E0E0E1" w:themeFill="background2"/>
            <w:vAlign w:val="center"/>
          </w:tcPr>
          <w:p w14:paraId="63B57CB5" w14:textId="3294D2B7" w:rsidR="00BC798F" w:rsidRPr="00852CAC" w:rsidRDefault="006E61E7" w:rsidP="00BC798F">
            <w:pPr>
              <w:jc w:val="center"/>
              <w:rPr>
                <w:rFonts w:cs="Arial"/>
                <w:b/>
                <w:bCs/>
                <w:sz w:val="22"/>
              </w:rPr>
            </w:pPr>
            <w:r>
              <w:rPr>
                <w:rFonts w:cs="Arial"/>
                <w:b/>
                <w:bCs/>
                <w:sz w:val="22"/>
              </w:rPr>
              <w:t>G</w:t>
            </w:r>
            <w:r w:rsidR="00E20C23">
              <w:rPr>
                <w:rFonts w:cs="Arial"/>
                <w:b/>
                <w:bCs/>
                <w:sz w:val="22"/>
              </w:rPr>
              <w:t xml:space="preserve">roup </w:t>
            </w:r>
            <w:r>
              <w:rPr>
                <w:rFonts w:cs="Arial"/>
                <w:b/>
                <w:bCs/>
                <w:sz w:val="22"/>
              </w:rPr>
              <w:t xml:space="preserve">2 </w:t>
            </w:r>
            <w:r w:rsidR="00BC798F" w:rsidRPr="00852CAC">
              <w:rPr>
                <w:rFonts w:cs="Arial"/>
                <w:b/>
                <w:bCs/>
                <w:sz w:val="22"/>
              </w:rPr>
              <w:t>Statistical Test</w:t>
            </w:r>
          </w:p>
        </w:tc>
        <w:tc>
          <w:tcPr>
            <w:tcW w:w="853" w:type="dxa"/>
            <w:shd w:val="clear" w:color="auto" w:fill="E0E0E1" w:themeFill="background2"/>
            <w:vAlign w:val="center"/>
          </w:tcPr>
          <w:p w14:paraId="447E2896" w14:textId="65B3C6BD" w:rsidR="00BC798F" w:rsidRPr="00852CAC" w:rsidRDefault="00E20C23" w:rsidP="00BC798F">
            <w:pPr>
              <w:jc w:val="center"/>
              <w:rPr>
                <w:rFonts w:cs="Arial"/>
                <w:b/>
                <w:bCs/>
                <w:sz w:val="22"/>
              </w:rPr>
            </w:pPr>
            <w:r>
              <w:rPr>
                <w:rFonts w:cs="Arial"/>
                <w:b/>
                <w:bCs/>
                <w:sz w:val="22"/>
              </w:rPr>
              <w:t xml:space="preserve">Group 2 </w:t>
            </w:r>
            <w:r w:rsidR="00BC798F" w:rsidRPr="00852CAC">
              <w:rPr>
                <w:rFonts w:cs="Arial"/>
                <w:b/>
                <w:bCs/>
                <w:sz w:val="22"/>
              </w:rPr>
              <w:t>Effect size</w:t>
            </w:r>
          </w:p>
        </w:tc>
        <w:tc>
          <w:tcPr>
            <w:tcW w:w="1134" w:type="dxa"/>
            <w:shd w:val="clear" w:color="auto" w:fill="E0E0E1" w:themeFill="background2"/>
            <w:vAlign w:val="center"/>
          </w:tcPr>
          <w:p w14:paraId="4394112D" w14:textId="5C29D700" w:rsidR="00BC798F" w:rsidRDefault="006E61E7" w:rsidP="00BC798F">
            <w:pPr>
              <w:jc w:val="center"/>
              <w:rPr>
                <w:rFonts w:cs="Arial"/>
                <w:b/>
                <w:bCs/>
                <w:sz w:val="22"/>
              </w:rPr>
            </w:pPr>
            <w:r>
              <w:rPr>
                <w:rFonts w:cs="Arial"/>
                <w:b/>
                <w:bCs/>
                <w:sz w:val="22"/>
              </w:rPr>
              <w:t>G</w:t>
            </w:r>
            <w:r w:rsidR="00E20C23">
              <w:rPr>
                <w:rFonts w:cs="Arial"/>
                <w:b/>
                <w:bCs/>
                <w:sz w:val="22"/>
              </w:rPr>
              <w:t xml:space="preserve">roup </w:t>
            </w:r>
            <w:r>
              <w:rPr>
                <w:rFonts w:cs="Arial"/>
                <w:b/>
                <w:bCs/>
                <w:sz w:val="22"/>
              </w:rPr>
              <w:t xml:space="preserve">3 </w:t>
            </w:r>
            <w:r w:rsidR="00BC798F" w:rsidRPr="00852CAC">
              <w:rPr>
                <w:rFonts w:cs="Arial"/>
                <w:b/>
                <w:bCs/>
                <w:sz w:val="22"/>
              </w:rPr>
              <w:t>Mean S1</w:t>
            </w:r>
          </w:p>
          <w:p w14:paraId="6F4F3CF1" w14:textId="5F0507C4" w:rsidR="00BC798F" w:rsidRPr="0072748E" w:rsidRDefault="00BC798F" w:rsidP="00BC798F">
            <w:pPr>
              <w:jc w:val="center"/>
              <w:rPr>
                <w:rFonts w:cs="Arial"/>
                <w:b/>
                <w:bCs/>
                <w:i/>
                <w:iCs/>
                <w:sz w:val="22"/>
              </w:rPr>
            </w:pPr>
            <w:r w:rsidRPr="0072748E">
              <w:rPr>
                <w:rFonts w:cs="Arial"/>
                <w:b/>
                <w:bCs/>
                <w:i/>
                <w:iCs/>
                <w:sz w:val="22"/>
              </w:rPr>
              <w:t>(SD)</w:t>
            </w:r>
          </w:p>
        </w:tc>
        <w:tc>
          <w:tcPr>
            <w:tcW w:w="1134" w:type="dxa"/>
            <w:shd w:val="clear" w:color="auto" w:fill="E0E0E1" w:themeFill="background2"/>
            <w:vAlign w:val="center"/>
          </w:tcPr>
          <w:p w14:paraId="4B8DA26A" w14:textId="601DB4B7" w:rsidR="00BC798F" w:rsidRDefault="006E61E7" w:rsidP="00BC798F">
            <w:pPr>
              <w:jc w:val="center"/>
              <w:rPr>
                <w:rFonts w:cs="Arial"/>
                <w:b/>
                <w:bCs/>
                <w:sz w:val="22"/>
              </w:rPr>
            </w:pPr>
            <w:r>
              <w:rPr>
                <w:rFonts w:cs="Arial"/>
                <w:b/>
                <w:bCs/>
                <w:sz w:val="22"/>
              </w:rPr>
              <w:t>G</w:t>
            </w:r>
            <w:r w:rsidR="00E20C23">
              <w:rPr>
                <w:rFonts w:cs="Arial"/>
                <w:b/>
                <w:bCs/>
                <w:sz w:val="22"/>
              </w:rPr>
              <w:t xml:space="preserve">roup </w:t>
            </w:r>
            <w:r>
              <w:rPr>
                <w:rFonts w:cs="Arial"/>
                <w:b/>
                <w:bCs/>
                <w:sz w:val="22"/>
              </w:rPr>
              <w:t xml:space="preserve">3 </w:t>
            </w:r>
            <w:r w:rsidR="00BC798F" w:rsidRPr="00852CAC">
              <w:rPr>
                <w:rFonts w:cs="Arial"/>
                <w:b/>
                <w:bCs/>
                <w:sz w:val="22"/>
              </w:rPr>
              <w:t>Mean S3</w:t>
            </w:r>
          </w:p>
          <w:p w14:paraId="67578736" w14:textId="4D6BE67E" w:rsidR="00BC798F" w:rsidRPr="0072748E" w:rsidRDefault="00BC798F" w:rsidP="00BC798F">
            <w:pPr>
              <w:jc w:val="center"/>
              <w:rPr>
                <w:rFonts w:cs="Arial"/>
                <w:b/>
                <w:bCs/>
                <w:i/>
                <w:iCs/>
                <w:sz w:val="22"/>
              </w:rPr>
            </w:pPr>
            <w:r w:rsidRPr="0072748E">
              <w:rPr>
                <w:rFonts w:cs="Arial"/>
                <w:b/>
                <w:bCs/>
                <w:i/>
                <w:iCs/>
                <w:sz w:val="22"/>
              </w:rPr>
              <w:t>(SD)</w:t>
            </w:r>
          </w:p>
        </w:tc>
        <w:tc>
          <w:tcPr>
            <w:tcW w:w="1702" w:type="dxa"/>
            <w:shd w:val="clear" w:color="auto" w:fill="E0E0E1" w:themeFill="background2"/>
            <w:vAlign w:val="center"/>
          </w:tcPr>
          <w:p w14:paraId="4DE1DAC4" w14:textId="539EE959" w:rsidR="00BC798F" w:rsidRPr="00852CAC" w:rsidRDefault="006E61E7" w:rsidP="00BC798F">
            <w:pPr>
              <w:jc w:val="center"/>
              <w:rPr>
                <w:rFonts w:cs="Arial"/>
                <w:b/>
                <w:bCs/>
                <w:sz w:val="22"/>
              </w:rPr>
            </w:pPr>
            <w:r>
              <w:rPr>
                <w:rFonts w:cs="Arial"/>
                <w:b/>
                <w:bCs/>
                <w:sz w:val="22"/>
              </w:rPr>
              <w:t>G</w:t>
            </w:r>
            <w:r w:rsidR="00E20C23">
              <w:rPr>
                <w:rFonts w:cs="Arial"/>
                <w:b/>
                <w:bCs/>
                <w:sz w:val="22"/>
              </w:rPr>
              <w:t xml:space="preserve">roup </w:t>
            </w:r>
            <w:r>
              <w:rPr>
                <w:rFonts w:cs="Arial"/>
                <w:b/>
                <w:bCs/>
                <w:sz w:val="22"/>
              </w:rPr>
              <w:t xml:space="preserve">3 </w:t>
            </w:r>
            <w:r w:rsidR="00BC798F" w:rsidRPr="00852CAC">
              <w:rPr>
                <w:rFonts w:cs="Arial"/>
                <w:b/>
                <w:bCs/>
                <w:sz w:val="22"/>
              </w:rPr>
              <w:t>Statistical Test</w:t>
            </w:r>
          </w:p>
        </w:tc>
        <w:tc>
          <w:tcPr>
            <w:tcW w:w="880" w:type="dxa"/>
            <w:shd w:val="clear" w:color="auto" w:fill="E0E0E1" w:themeFill="background2"/>
            <w:vAlign w:val="center"/>
          </w:tcPr>
          <w:p w14:paraId="6C927CB9" w14:textId="5446DA7B" w:rsidR="00BC798F" w:rsidRPr="00852CAC" w:rsidRDefault="006E61E7" w:rsidP="00BC798F">
            <w:pPr>
              <w:jc w:val="center"/>
              <w:rPr>
                <w:rFonts w:cs="Arial"/>
                <w:b/>
                <w:bCs/>
                <w:sz w:val="22"/>
              </w:rPr>
            </w:pPr>
            <w:r>
              <w:rPr>
                <w:rFonts w:cs="Arial"/>
                <w:b/>
                <w:bCs/>
                <w:sz w:val="22"/>
              </w:rPr>
              <w:t>G</w:t>
            </w:r>
            <w:r w:rsidR="00E20C23">
              <w:rPr>
                <w:rFonts w:cs="Arial"/>
                <w:b/>
                <w:bCs/>
                <w:sz w:val="22"/>
              </w:rPr>
              <w:t>roup</w:t>
            </w:r>
            <w:r>
              <w:rPr>
                <w:rFonts w:cs="Arial"/>
                <w:b/>
                <w:bCs/>
                <w:sz w:val="22"/>
              </w:rPr>
              <w:t xml:space="preserve">3 </w:t>
            </w:r>
            <w:r w:rsidR="00BC798F" w:rsidRPr="00852CAC">
              <w:rPr>
                <w:rFonts w:cs="Arial"/>
                <w:b/>
                <w:bCs/>
                <w:sz w:val="22"/>
              </w:rPr>
              <w:t>Effect size</w:t>
            </w:r>
          </w:p>
        </w:tc>
      </w:tr>
      <w:tr w:rsidR="00C00C58" w14:paraId="6CDD94E4" w14:textId="211A9A69" w:rsidTr="006E61E7">
        <w:trPr>
          <w:trHeight w:val="821"/>
          <w:jc w:val="center"/>
        </w:trPr>
        <w:tc>
          <w:tcPr>
            <w:tcW w:w="1586" w:type="dxa"/>
            <w:shd w:val="clear" w:color="auto" w:fill="E0E0E1" w:themeFill="background2"/>
            <w:vAlign w:val="center"/>
          </w:tcPr>
          <w:p w14:paraId="75C35428" w14:textId="7015ECBA" w:rsidR="008F06DB" w:rsidRPr="00637B2F" w:rsidRDefault="008F06DB" w:rsidP="000E210B">
            <w:pPr>
              <w:spacing w:before="0"/>
              <w:rPr>
                <w:rFonts w:cs="Arial"/>
                <w:b/>
                <w:bCs/>
                <w:szCs w:val="24"/>
              </w:rPr>
            </w:pPr>
            <w:r w:rsidRPr="00637B2F">
              <w:rPr>
                <w:rFonts w:cs="Arial"/>
                <w:b/>
                <w:bCs/>
                <w:szCs w:val="24"/>
              </w:rPr>
              <w:t xml:space="preserve">Knowledge </w:t>
            </w:r>
          </w:p>
        </w:tc>
        <w:tc>
          <w:tcPr>
            <w:tcW w:w="1155" w:type="dxa"/>
            <w:vAlign w:val="center"/>
          </w:tcPr>
          <w:p w14:paraId="40C9F8B9" w14:textId="77777777" w:rsidR="008F06DB" w:rsidRDefault="008F06DB" w:rsidP="000E210B">
            <w:pPr>
              <w:spacing w:before="0"/>
              <w:jc w:val="center"/>
              <w:rPr>
                <w:rFonts w:cs="Arial"/>
                <w:sz w:val="22"/>
              </w:rPr>
            </w:pPr>
            <w:r w:rsidRPr="00852CAC">
              <w:rPr>
                <w:rFonts w:cs="Arial"/>
                <w:sz w:val="22"/>
              </w:rPr>
              <w:t>3.85</w:t>
            </w:r>
          </w:p>
          <w:p w14:paraId="61806642" w14:textId="2B792B8B" w:rsidR="00E35A3B" w:rsidRPr="0072748E" w:rsidRDefault="00E35A3B" w:rsidP="000E210B">
            <w:pPr>
              <w:spacing w:before="0"/>
              <w:jc w:val="center"/>
              <w:rPr>
                <w:rFonts w:cs="Arial"/>
                <w:i/>
                <w:iCs/>
                <w:sz w:val="22"/>
              </w:rPr>
            </w:pPr>
            <w:r w:rsidRPr="0072748E">
              <w:rPr>
                <w:rFonts w:cs="Arial"/>
                <w:i/>
                <w:iCs/>
                <w:sz w:val="22"/>
              </w:rPr>
              <w:t>(0.59)</w:t>
            </w:r>
          </w:p>
        </w:tc>
        <w:tc>
          <w:tcPr>
            <w:tcW w:w="1155" w:type="dxa"/>
            <w:vAlign w:val="center"/>
          </w:tcPr>
          <w:p w14:paraId="6C1CA0B2" w14:textId="77777777" w:rsidR="008F06DB" w:rsidRDefault="008F06DB" w:rsidP="000E210B">
            <w:pPr>
              <w:spacing w:before="0"/>
              <w:jc w:val="center"/>
              <w:rPr>
                <w:rFonts w:cs="Arial"/>
                <w:sz w:val="22"/>
              </w:rPr>
            </w:pPr>
            <w:r w:rsidRPr="00852CAC">
              <w:rPr>
                <w:rFonts w:cs="Arial"/>
                <w:sz w:val="22"/>
              </w:rPr>
              <w:t>4.01</w:t>
            </w:r>
          </w:p>
          <w:p w14:paraId="4E70D162" w14:textId="0EAB39B9" w:rsidR="004D24F1" w:rsidRPr="0072748E" w:rsidRDefault="004D24F1" w:rsidP="000E210B">
            <w:pPr>
              <w:spacing w:before="0"/>
              <w:jc w:val="center"/>
              <w:rPr>
                <w:rFonts w:cs="Arial"/>
                <w:i/>
                <w:iCs/>
                <w:sz w:val="22"/>
              </w:rPr>
            </w:pPr>
            <w:r w:rsidRPr="0072748E">
              <w:rPr>
                <w:rFonts w:cs="Arial"/>
                <w:i/>
                <w:iCs/>
                <w:sz w:val="22"/>
              </w:rPr>
              <w:t>(0.5</w:t>
            </w:r>
            <w:r w:rsidR="00DA185B">
              <w:rPr>
                <w:rFonts w:cs="Arial"/>
                <w:i/>
                <w:iCs/>
                <w:sz w:val="22"/>
              </w:rPr>
              <w:t>0</w:t>
            </w:r>
            <w:r w:rsidRPr="0072748E">
              <w:rPr>
                <w:rFonts w:cs="Arial"/>
                <w:i/>
                <w:iCs/>
                <w:sz w:val="22"/>
              </w:rPr>
              <w:t>)</w:t>
            </w:r>
          </w:p>
        </w:tc>
        <w:tc>
          <w:tcPr>
            <w:tcW w:w="1626" w:type="dxa"/>
            <w:vAlign w:val="center"/>
          </w:tcPr>
          <w:p w14:paraId="23C6CCBB" w14:textId="40F0813A" w:rsidR="00A26830" w:rsidRPr="00852CAC" w:rsidRDefault="002716E0" w:rsidP="000E210B">
            <w:pPr>
              <w:spacing w:before="0"/>
              <w:jc w:val="center"/>
              <w:rPr>
                <w:rFonts w:cs="Arial"/>
                <w:sz w:val="22"/>
              </w:rPr>
            </w:pPr>
            <w:r w:rsidRPr="00852CAC">
              <w:rPr>
                <w:rFonts w:cs="Arial"/>
                <w:sz w:val="22"/>
              </w:rPr>
              <w:t xml:space="preserve">z = </w:t>
            </w:r>
            <w:r w:rsidR="00A26830" w:rsidRPr="00852CAC">
              <w:rPr>
                <w:rFonts w:cs="Arial"/>
                <w:sz w:val="22"/>
              </w:rPr>
              <w:t>-1.6</w:t>
            </w:r>
            <w:r w:rsidR="00861D99">
              <w:rPr>
                <w:rFonts w:cs="Arial"/>
                <w:sz w:val="22"/>
              </w:rPr>
              <w:t>6</w:t>
            </w:r>
          </w:p>
          <w:p w14:paraId="15DFE931" w14:textId="62CD8C76" w:rsidR="008F06DB" w:rsidRPr="00852CAC" w:rsidRDefault="00A26830" w:rsidP="000E210B">
            <w:pPr>
              <w:spacing w:before="0"/>
              <w:jc w:val="center"/>
              <w:rPr>
                <w:rFonts w:cs="Arial"/>
                <w:sz w:val="22"/>
              </w:rPr>
            </w:pPr>
            <w:r w:rsidRPr="00265A19">
              <w:rPr>
                <w:rFonts w:cs="Arial"/>
                <w:i/>
                <w:iCs/>
                <w:sz w:val="22"/>
              </w:rPr>
              <w:t>p</w:t>
            </w:r>
            <w:r w:rsidRPr="00852CAC">
              <w:rPr>
                <w:rFonts w:cs="Arial"/>
                <w:sz w:val="22"/>
              </w:rPr>
              <w:t>=</w:t>
            </w:r>
            <w:r w:rsidR="008F06DB" w:rsidRPr="00852CAC">
              <w:rPr>
                <w:rFonts w:cs="Arial"/>
                <w:sz w:val="22"/>
              </w:rPr>
              <w:t>0.</w:t>
            </w:r>
            <w:r w:rsidR="00C875C2">
              <w:rPr>
                <w:rFonts w:cs="Arial"/>
                <w:sz w:val="22"/>
              </w:rPr>
              <w:t>10</w:t>
            </w:r>
          </w:p>
        </w:tc>
        <w:tc>
          <w:tcPr>
            <w:tcW w:w="852" w:type="dxa"/>
            <w:vAlign w:val="center"/>
          </w:tcPr>
          <w:p w14:paraId="4A01AFE7" w14:textId="2FB92CA0" w:rsidR="008F06DB" w:rsidRPr="00852CAC" w:rsidRDefault="00DF1566" w:rsidP="000E210B">
            <w:pPr>
              <w:spacing w:before="0"/>
              <w:jc w:val="center"/>
              <w:rPr>
                <w:rFonts w:cs="Arial"/>
                <w:sz w:val="22"/>
              </w:rPr>
            </w:pPr>
            <w:r w:rsidRPr="002D5612">
              <w:rPr>
                <w:rFonts w:cs="Arial"/>
                <w:i/>
                <w:iCs/>
                <w:sz w:val="22"/>
              </w:rPr>
              <w:t>r</w:t>
            </w:r>
            <w:r>
              <w:rPr>
                <w:rFonts w:cs="Arial"/>
                <w:sz w:val="22"/>
              </w:rPr>
              <w:t xml:space="preserve"> =</w:t>
            </w:r>
            <w:r w:rsidR="008F06DB" w:rsidRPr="00852CAC">
              <w:rPr>
                <w:rFonts w:cs="Arial"/>
                <w:sz w:val="22"/>
              </w:rPr>
              <w:t>0.2</w:t>
            </w:r>
            <w:r w:rsidR="005E1F01">
              <w:rPr>
                <w:rFonts w:cs="Arial"/>
                <w:sz w:val="22"/>
              </w:rPr>
              <w:t>4</w:t>
            </w:r>
          </w:p>
        </w:tc>
        <w:tc>
          <w:tcPr>
            <w:tcW w:w="1134" w:type="dxa"/>
            <w:vAlign w:val="center"/>
          </w:tcPr>
          <w:p w14:paraId="3ADBC400" w14:textId="77777777" w:rsidR="008F06DB" w:rsidRDefault="008F06DB" w:rsidP="000E210B">
            <w:pPr>
              <w:spacing w:before="0"/>
              <w:jc w:val="center"/>
              <w:rPr>
                <w:rFonts w:cs="Arial"/>
                <w:sz w:val="22"/>
              </w:rPr>
            </w:pPr>
            <w:r w:rsidRPr="00852CAC">
              <w:rPr>
                <w:rFonts w:cs="Arial"/>
                <w:sz w:val="22"/>
              </w:rPr>
              <w:t>3.8</w:t>
            </w:r>
            <w:r w:rsidR="00DB276F" w:rsidRPr="00852CAC">
              <w:rPr>
                <w:rFonts w:cs="Arial"/>
                <w:sz w:val="22"/>
              </w:rPr>
              <w:t>7</w:t>
            </w:r>
          </w:p>
          <w:p w14:paraId="3DC6061D" w14:textId="0622E958" w:rsidR="00A429FA" w:rsidRPr="0072748E" w:rsidRDefault="00A429FA" w:rsidP="000E210B">
            <w:pPr>
              <w:spacing w:before="0"/>
              <w:jc w:val="center"/>
              <w:rPr>
                <w:rFonts w:cs="Arial"/>
                <w:i/>
                <w:iCs/>
                <w:sz w:val="22"/>
              </w:rPr>
            </w:pPr>
            <w:r w:rsidRPr="0072748E">
              <w:rPr>
                <w:rFonts w:cs="Arial"/>
                <w:i/>
                <w:iCs/>
                <w:sz w:val="22"/>
              </w:rPr>
              <w:t>(0.38)</w:t>
            </w:r>
          </w:p>
        </w:tc>
        <w:tc>
          <w:tcPr>
            <w:tcW w:w="1134" w:type="dxa"/>
            <w:vAlign w:val="center"/>
          </w:tcPr>
          <w:p w14:paraId="38915B81" w14:textId="77777777" w:rsidR="008F06DB" w:rsidRDefault="008F06DB" w:rsidP="000E210B">
            <w:pPr>
              <w:spacing w:before="0"/>
              <w:jc w:val="center"/>
              <w:rPr>
                <w:rFonts w:cs="Arial"/>
                <w:sz w:val="22"/>
              </w:rPr>
            </w:pPr>
            <w:r w:rsidRPr="00852CAC">
              <w:rPr>
                <w:rFonts w:cs="Arial"/>
                <w:sz w:val="22"/>
              </w:rPr>
              <w:t>4.</w:t>
            </w:r>
            <w:r w:rsidR="00DB276F" w:rsidRPr="00852CAC">
              <w:rPr>
                <w:rFonts w:cs="Arial"/>
                <w:sz w:val="22"/>
              </w:rPr>
              <w:t>1</w:t>
            </w:r>
            <w:r w:rsidR="00E67199" w:rsidRPr="00852CAC">
              <w:rPr>
                <w:rFonts w:cs="Arial"/>
                <w:sz w:val="22"/>
              </w:rPr>
              <w:t>7</w:t>
            </w:r>
          </w:p>
          <w:p w14:paraId="2BF0079E" w14:textId="7B5CEC8C" w:rsidR="00A429FA" w:rsidRPr="0072748E" w:rsidRDefault="00A429FA" w:rsidP="000E210B">
            <w:pPr>
              <w:spacing w:before="0"/>
              <w:jc w:val="center"/>
              <w:rPr>
                <w:rFonts w:cs="Arial"/>
                <w:i/>
                <w:iCs/>
                <w:sz w:val="22"/>
              </w:rPr>
            </w:pPr>
            <w:r w:rsidRPr="0072748E">
              <w:rPr>
                <w:rFonts w:cs="Arial"/>
                <w:i/>
                <w:iCs/>
                <w:sz w:val="22"/>
              </w:rPr>
              <w:t>(0.5)</w:t>
            </w:r>
          </w:p>
        </w:tc>
        <w:tc>
          <w:tcPr>
            <w:tcW w:w="1702" w:type="dxa"/>
            <w:vAlign w:val="center"/>
          </w:tcPr>
          <w:p w14:paraId="5E439881" w14:textId="4F701003" w:rsidR="000E793C" w:rsidRPr="00852CAC" w:rsidRDefault="005E1F01" w:rsidP="00B71646">
            <w:pPr>
              <w:spacing w:before="0"/>
              <w:jc w:val="center"/>
              <w:rPr>
                <w:rFonts w:cs="Arial"/>
                <w:sz w:val="22"/>
              </w:rPr>
            </w:pPr>
            <w:r>
              <w:rPr>
                <w:rFonts w:cs="Arial"/>
                <w:sz w:val="22"/>
              </w:rPr>
              <w:t xml:space="preserve">z </w:t>
            </w:r>
            <w:r w:rsidR="00F118B0" w:rsidRPr="00852CAC">
              <w:rPr>
                <w:rFonts w:cs="Arial"/>
                <w:sz w:val="22"/>
              </w:rPr>
              <w:t>= -</w:t>
            </w:r>
            <w:r w:rsidR="000E793C" w:rsidRPr="00852CAC">
              <w:rPr>
                <w:rFonts w:cs="Arial"/>
                <w:sz w:val="22"/>
              </w:rPr>
              <w:t>2.</w:t>
            </w:r>
            <w:r w:rsidR="00533407">
              <w:rPr>
                <w:rFonts w:cs="Arial"/>
                <w:sz w:val="22"/>
              </w:rPr>
              <w:t>20</w:t>
            </w:r>
          </w:p>
          <w:p w14:paraId="70E54E2A" w14:textId="11D3D816" w:rsidR="008F06DB" w:rsidRPr="00852CAC" w:rsidRDefault="000E793C" w:rsidP="000E210B">
            <w:pPr>
              <w:spacing w:before="0"/>
              <w:jc w:val="center"/>
              <w:rPr>
                <w:rFonts w:cs="Arial"/>
                <w:sz w:val="22"/>
              </w:rPr>
            </w:pPr>
            <w:r w:rsidRPr="00FC0A74">
              <w:rPr>
                <w:rFonts w:cs="Arial"/>
                <w:i/>
                <w:iCs/>
                <w:sz w:val="22"/>
              </w:rPr>
              <w:t>p</w:t>
            </w:r>
            <w:r w:rsidRPr="00852CAC">
              <w:rPr>
                <w:rFonts w:cs="Arial"/>
                <w:sz w:val="22"/>
              </w:rPr>
              <w:t>=</w:t>
            </w:r>
            <w:r w:rsidR="003C18A3" w:rsidRPr="00852CAC">
              <w:rPr>
                <w:rFonts w:cs="Arial"/>
                <w:sz w:val="22"/>
              </w:rPr>
              <w:t>0.</w:t>
            </w:r>
            <w:r w:rsidR="004514C2" w:rsidRPr="00852CAC">
              <w:rPr>
                <w:rFonts w:cs="Arial"/>
                <w:sz w:val="22"/>
              </w:rPr>
              <w:t>28</w:t>
            </w:r>
          </w:p>
        </w:tc>
        <w:tc>
          <w:tcPr>
            <w:tcW w:w="853" w:type="dxa"/>
            <w:vAlign w:val="center"/>
          </w:tcPr>
          <w:p w14:paraId="27F493FA" w14:textId="3F547C3E" w:rsidR="008F06DB" w:rsidRPr="00852CAC" w:rsidRDefault="00EA049A" w:rsidP="000E210B">
            <w:pPr>
              <w:spacing w:before="0" w:line="240" w:lineRule="auto"/>
              <w:jc w:val="center"/>
              <w:rPr>
                <w:rFonts w:cs="Arial"/>
                <w:color w:val="000000"/>
                <w:sz w:val="22"/>
                <w:lang w:eastAsia="zh-CN"/>
              </w:rPr>
            </w:pPr>
            <w:r w:rsidRPr="002D5612">
              <w:rPr>
                <w:rFonts w:cs="Arial"/>
                <w:i/>
                <w:iCs/>
                <w:sz w:val="22"/>
              </w:rPr>
              <w:t>r</w:t>
            </w:r>
            <w:r>
              <w:rPr>
                <w:rFonts w:cs="Arial"/>
                <w:sz w:val="22"/>
              </w:rPr>
              <w:t xml:space="preserve"> = </w:t>
            </w:r>
            <w:r w:rsidR="008F06DB" w:rsidRPr="00852CAC">
              <w:rPr>
                <w:rFonts w:cs="Arial"/>
                <w:color w:val="000000"/>
                <w:sz w:val="22"/>
              </w:rPr>
              <w:t>0.</w:t>
            </w:r>
            <w:r>
              <w:rPr>
                <w:rFonts w:cs="Arial"/>
                <w:color w:val="000000"/>
                <w:sz w:val="22"/>
              </w:rPr>
              <w:t>30</w:t>
            </w:r>
          </w:p>
        </w:tc>
        <w:tc>
          <w:tcPr>
            <w:tcW w:w="1134" w:type="dxa"/>
            <w:vAlign w:val="center"/>
          </w:tcPr>
          <w:p w14:paraId="77D2B949" w14:textId="77777777" w:rsidR="008F06DB" w:rsidRDefault="003F73C7" w:rsidP="000E210B">
            <w:pPr>
              <w:spacing w:before="0"/>
              <w:jc w:val="center"/>
              <w:rPr>
                <w:rFonts w:cs="Arial"/>
                <w:sz w:val="22"/>
              </w:rPr>
            </w:pPr>
            <w:r w:rsidRPr="00852CAC">
              <w:rPr>
                <w:rFonts w:cs="Arial"/>
                <w:sz w:val="22"/>
              </w:rPr>
              <w:t>3.83</w:t>
            </w:r>
          </w:p>
          <w:p w14:paraId="14A27EB2" w14:textId="48A63F19" w:rsidR="00F3773B" w:rsidRPr="0072748E" w:rsidRDefault="00F3773B" w:rsidP="000E210B">
            <w:pPr>
              <w:spacing w:before="0"/>
              <w:jc w:val="center"/>
              <w:rPr>
                <w:rFonts w:cs="Arial"/>
                <w:i/>
                <w:iCs/>
                <w:sz w:val="22"/>
              </w:rPr>
            </w:pPr>
            <w:r w:rsidRPr="0072748E">
              <w:rPr>
                <w:rFonts w:cs="Arial"/>
                <w:i/>
                <w:iCs/>
                <w:sz w:val="22"/>
              </w:rPr>
              <w:t>(</w:t>
            </w:r>
            <w:r w:rsidR="00345436" w:rsidRPr="0072748E">
              <w:rPr>
                <w:rFonts w:cs="Arial"/>
                <w:i/>
                <w:iCs/>
                <w:sz w:val="22"/>
              </w:rPr>
              <w:t>0.38)</w:t>
            </w:r>
          </w:p>
        </w:tc>
        <w:tc>
          <w:tcPr>
            <w:tcW w:w="1134" w:type="dxa"/>
            <w:vAlign w:val="center"/>
          </w:tcPr>
          <w:p w14:paraId="232B1627" w14:textId="77777777" w:rsidR="008F06DB" w:rsidRDefault="00553110" w:rsidP="000E210B">
            <w:pPr>
              <w:spacing w:before="0"/>
              <w:jc w:val="center"/>
              <w:rPr>
                <w:rFonts w:cs="Arial"/>
                <w:sz w:val="22"/>
              </w:rPr>
            </w:pPr>
            <w:r w:rsidRPr="00852CAC">
              <w:rPr>
                <w:rFonts w:cs="Arial"/>
                <w:sz w:val="22"/>
              </w:rPr>
              <w:t>4.03</w:t>
            </w:r>
          </w:p>
          <w:p w14:paraId="42F50D08" w14:textId="1AA26892" w:rsidR="002F62AA" w:rsidRPr="0072748E" w:rsidRDefault="002F62AA" w:rsidP="000E210B">
            <w:pPr>
              <w:spacing w:before="0"/>
              <w:jc w:val="center"/>
              <w:rPr>
                <w:rFonts w:cs="Arial"/>
                <w:i/>
                <w:iCs/>
                <w:sz w:val="22"/>
              </w:rPr>
            </w:pPr>
            <w:r w:rsidRPr="0072748E">
              <w:rPr>
                <w:rFonts w:cs="Arial"/>
                <w:i/>
                <w:iCs/>
                <w:sz w:val="22"/>
              </w:rPr>
              <w:t>(0.47)</w:t>
            </w:r>
          </w:p>
        </w:tc>
        <w:tc>
          <w:tcPr>
            <w:tcW w:w="1702" w:type="dxa"/>
            <w:vAlign w:val="center"/>
          </w:tcPr>
          <w:p w14:paraId="07473C8A" w14:textId="38A880BF" w:rsidR="00007C76" w:rsidRPr="00852CAC" w:rsidRDefault="00DA5AED" w:rsidP="000E210B">
            <w:pPr>
              <w:spacing w:before="0"/>
              <w:jc w:val="center"/>
              <w:rPr>
                <w:rFonts w:cs="Arial"/>
                <w:sz w:val="22"/>
              </w:rPr>
            </w:pPr>
            <w:r w:rsidRPr="00852CAC">
              <w:rPr>
                <w:rFonts w:cs="Arial"/>
                <w:sz w:val="22"/>
              </w:rPr>
              <w:t>z = -</w:t>
            </w:r>
            <w:r w:rsidR="00007C76" w:rsidRPr="00852CAC">
              <w:rPr>
                <w:rFonts w:cs="Arial"/>
                <w:sz w:val="22"/>
              </w:rPr>
              <w:t>1.</w:t>
            </w:r>
            <w:r w:rsidR="00533407">
              <w:rPr>
                <w:rFonts w:cs="Arial"/>
                <w:sz w:val="22"/>
              </w:rPr>
              <w:t>40</w:t>
            </w:r>
          </w:p>
          <w:p w14:paraId="38E33042" w14:textId="335FE4D9" w:rsidR="008F06DB" w:rsidRPr="00852CAC" w:rsidRDefault="00007C76" w:rsidP="000E210B">
            <w:pPr>
              <w:spacing w:before="0"/>
              <w:jc w:val="center"/>
              <w:rPr>
                <w:rFonts w:cs="Arial"/>
                <w:sz w:val="22"/>
              </w:rPr>
            </w:pPr>
            <w:r w:rsidRPr="005322C5">
              <w:rPr>
                <w:rFonts w:cs="Arial"/>
                <w:i/>
                <w:iCs/>
                <w:sz w:val="22"/>
              </w:rPr>
              <w:t>p</w:t>
            </w:r>
            <w:r w:rsidRPr="00852CAC">
              <w:rPr>
                <w:rFonts w:cs="Arial"/>
                <w:sz w:val="22"/>
              </w:rPr>
              <w:t>=</w:t>
            </w:r>
            <w:r w:rsidR="008F06DB" w:rsidRPr="00852CAC">
              <w:rPr>
                <w:rFonts w:cs="Arial"/>
                <w:sz w:val="22"/>
              </w:rPr>
              <w:t>0.19</w:t>
            </w:r>
          </w:p>
        </w:tc>
        <w:tc>
          <w:tcPr>
            <w:tcW w:w="880" w:type="dxa"/>
            <w:vAlign w:val="center"/>
          </w:tcPr>
          <w:p w14:paraId="7EBF134A" w14:textId="7D914E0B" w:rsidR="008F06DB" w:rsidRPr="00852CAC" w:rsidRDefault="002D5612" w:rsidP="000E210B">
            <w:pPr>
              <w:spacing w:before="0"/>
              <w:jc w:val="center"/>
              <w:rPr>
                <w:rFonts w:cs="Arial"/>
                <w:sz w:val="22"/>
              </w:rPr>
            </w:pPr>
            <w:r w:rsidRPr="002D5612">
              <w:rPr>
                <w:rFonts w:cs="Arial"/>
                <w:i/>
                <w:iCs/>
                <w:sz w:val="22"/>
              </w:rPr>
              <w:t>r</w:t>
            </w:r>
            <w:r>
              <w:rPr>
                <w:rFonts w:cs="Arial"/>
                <w:sz w:val="22"/>
              </w:rPr>
              <w:t xml:space="preserve"> = </w:t>
            </w:r>
            <w:r w:rsidR="00C958C2" w:rsidRPr="00852CAC">
              <w:rPr>
                <w:rFonts w:cs="Arial"/>
                <w:sz w:val="22"/>
              </w:rPr>
              <w:t>0.1</w:t>
            </w:r>
            <w:r>
              <w:rPr>
                <w:rFonts w:cs="Arial"/>
                <w:sz w:val="22"/>
              </w:rPr>
              <w:t>3</w:t>
            </w:r>
          </w:p>
        </w:tc>
      </w:tr>
      <w:tr w:rsidR="00C00C58" w14:paraId="2789DAC5" w14:textId="2B7080E8" w:rsidTr="006E61E7">
        <w:trPr>
          <w:trHeight w:val="821"/>
          <w:jc w:val="center"/>
        </w:trPr>
        <w:tc>
          <w:tcPr>
            <w:tcW w:w="1586" w:type="dxa"/>
            <w:shd w:val="clear" w:color="auto" w:fill="E0E0E1" w:themeFill="background2"/>
            <w:vAlign w:val="center"/>
          </w:tcPr>
          <w:p w14:paraId="0BA5DC14" w14:textId="147E509C" w:rsidR="008F06DB" w:rsidRPr="00637B2F" w:rsidRDefault="00637B2F" w:rsidP="000E210B">
            <w:pPr>
              <w:spacing w:before="0"/>
              <w:rPr>
                <w:rFonts w:cs="Arial"/>
                <w:b/>
                <w:bCs/>
                <w:szCs w:val="24"/>
              </w:rPr>
            </w:pPr>
            <w:r w:rsidRPr="00637B2F">
              <w:rPr>
                <w:rFonts w:cs="Arial"/>
                <w:b/>
                <w:bCs/>
                <w:szCs w:val="24"/>
              </w:rPr>
              <w:t>B</w:t>
            </w:r>
            <w:r w:rsidR="008F06DB" w:rsidRPr="00637B2F">
              <w:rPr>
                <w:rFonts w:cs="Arial"/>
                <w:b/>
                <w:bCs/>
                <w:szCs w:val="24"/>
              </w:rPr>
              <w:t>elonging</w:t>
            </w:r>
          </w:p>
        </w:tc>
        <w:tc>
          <w:tcPr>
            <w:tcW w:w="1155" w:type="dxa"/>
            <w:vAlign w:val="center"/>
          </w:tcPr>
          <w:p w14:paraId="1CDE8989" w14:textId="59D22427" w:rsidR="008F06DB" w:rsidRDefault="008F06DB" w:rsidP="000E210B">
            <w:pPr>
              <w:spacing w:before="0"/>
              <w:jc w:val="center"/>
              <w:rPr>
                <w:rFonts w:cs="Arial"/>
                <w:sz w:val="22"/>
              </w:rPr>
            </w:pPr>
            <w:r w:rsidRPr="00852CAC">
              <w:rPr>
                <w:rFonts w:cs="Arial"/>
                <w:sz w:val="22"/>
              </w:rPr>
              <w:t>3.8</w:t>
            </w:r>
            <w:r w:rsidR="00DA185B">
              <w:rPr>
                <w:rFonts w:cs="Arial"/>
                <w:sz w:val="22"/>
              </w:rPr>
              <w:t>0</w:t>
            </w:r>
          </w:p>
          <w:p w14:paraId="74F89872" w14:textId="7DBD1767" w:rsidR="00E35A3B" w:rsidRPr="0072748E" w:rsidRDefault="004D24F1" w:rsidP="000E210B">
            <w:pPr>
              <w:spacing w:before="0"/>
              <w:jc w:val="center"/>
              <w:rPr>
                <w:rFonts w:cs="Arial"/>
                <w:i/>
                <w:iCs/>
                <w:sz w:val="22"/>
              </w:rPr>
            </w:pPr>
            <w:r w:rsidRPr="0072748E">
              <w:rPr>
                <w:rFonts w:cs="Arial"/>
                <w:i/>
                <w:iCs/>
                <w:sz w:val="22"/>
              </w:rPr>
              <w:t>(0.47)</w:t>
            </w:r>
          </w:p>
        </w:tc>
        <w:tc>
          <w:tcPr>
            <w:tcW w:w="1155" w:type="dxa"/>
            <w:vAlign w:val="center"/>
          </w:tcPr>
          <w:p w14:paraId="2A33FE33" w14:textId="77777777" w:rsidR="008F06DB" w:rsidRDefault="008F06DB" w:rsidP="000E210B">
            <w:pPr>
              <w:spacing w:before="0"/>
              <w:jc w:val="center"/>
              <w:rPr>
                <w:rFonts w:cs="Arial"/>
                <w:sz w:val="22"/>
              </w:rPr>
            </w:pPr>
            <w:r w:rsidRPr="00852CAC">
              <w:rPr>
                <w:rFonts w:cs="Arial"/>
                <w:sz w:val="22"/>
              </w:rPr>
              <w:t>4.03</w:t>
            </w:r>
          </w:p>
          <w:p w14:paraId="1B1F079E" w14:textId="5830273C" w:rsidR="004D24F1" w:rsidRPr="0072748E" w:rsidRDefault="004D24F1" w:rsidP="000E210B">
            <w:pPr>
              <w:spacing w:before="0"/>
              <w:jc w:val="center"/>
              <w:rPr>
                <w:rFonts w:cs="Arial"/>
                <w:i/>
                <w:iCs/>
                <w:sz w:val="22"/>
              </w:rPr>
            </w:pPr>
            <w:r w:rsidRPr="0072748E">
              <w:rPr>
                <w:rFonts w:cs="Arial"/>
                <w:i/>
                <w:iCs/>
                <w:sz w:val="22"/>
              </w:rPr>
              <w:t>(0.42)</w:t>
            </w:r>
          </w:p>
        </w:tc>
        <w:tc>
          <w:tcPr>
            <w:tcW w:w="1626" w:type="dxa"/>
            <w:vAlign w:val="center"/>
          </w:tcPr>
          <w:p w14:paraId="03194A37" w14:textId="11705360" w:rsidR="00852CAC" w:rsidRPr="00852CAC" w:rsidRDefault="00852CAC" w:rsidP="000E210B">
            <w:pPr>
              <w:spacing w:before="0"/>
              <w:jc w:val="center"/>
              <w:rPr>
                <w:rFonts w:cs="Arial"/>
                <w:color w:val="000000"/>
                <w:sz w:val="22"/>
                <w:lang w:eastAsia="zh-CN"/>
              </w:rPr>
            </w:pPr>
            <w:r w:rsidRPr="00852CAC">
              <w:rPr>
                <w:rFonts w:cs="Arial"/>
                <w:color w:val="000000"/>
                <w:sz w:val="22"/>
                <w:lang w:eastAsia="zh-CN"/>
              </w:rPr>
              <w:t>t</w:t>
            </w:r>
            <w:r w:rsidR="002D03F0" w:rsidRPr="00852CAC">
              <w:rPr>
                <w:rFonts w:cs="Arial"/>
                <w:color w:val="000000"/>
                <w:sz w:val="22"/>
                <w:lang w:eastAsia="zh-CN"/>
              </w:rPr>
              <w:t>(</w:t>
            </w:r>
            <w:r w:rsidR="005E2768">
              <w:rPr>
                <w:rFonts w:cs="Arial"/>
                <w:color w:val="000000"/>
                <w:sz w:val="22"/>
                <w:lang w:eastAsia="zh-CN"/>
              </w:rPr>
              <w:t>48</w:t>
            </w:r>
            <w:r w:rsidR="002D03F0" w:rsidRPr="00852CAC">
              <w:rPr>
                <w:rFonts w:cs="Arial"/>
                <w:color w:val="000000"/>
                <w:sz w:val="22"/>
                <w:lang w:eastAsia="zh-CN"/>
              </w:rPr>
              <w:t>) = -3.3</w:t>
            </w:r>
            <w:r w:rsidR="00C875C2">
              <w:rPr>
                <w:rFonts w:cs="Arial"/>
                <w:color w:val="000000"/>
                <w:sz w:val="22"/>
                <w:lang w:eastAsia="zh-CN"/>
              </w:rPr>
              <w:t>4</w:t>
            </w:r>
          </w:p>
          <w:p w14:paraId="7FFD3B8E" w14:textId="196BAC4F" w:rsidR="008F06DB" w:rsidRPr="00852CAC" w:rsidRDefault="00852CAC" w:rsidP="000E210B">
            <w:pPr>
              <w:spacing w:before="0"/>
              <w:jc w:val="center"/>
              <w:rPr>
                <w:rFonts w:cs="Arial"/>
                <w:sz w:val="22"/>
              </w:rPr>
            </w:pPr>
            <w:r w:rsidRPr="00265A19">
              <w:rPr>
                <w:rFonts w:cs="Arial"/>
                <w:i/>
                <w:iCs/>
                <w:sz w:val="22"/>
              </w:rPr>
              <w:t>p</w:t>
            </w:r>
            <w:r w:rsidRPr="00852CAC">
              <w:rPr>
                <w:rFonts w:cs="Arial"/>
                <w:sz w:val="22"/>
              </w:rPr>
              <w:t>=</w:t>
            </w:r>
            <w:r w:rsidR="008F06DB" w:rsidRPr="00852CAC">
              <w:rPr>
                <w:rFonts w:cs="Arial"/>
                <w:sz w:val="22"/>
              </w:rPr>
              <w:t>0.002</w:t>
            </w:r>
            <w:r w:rsidR="002D1AD8">
              <w:rPr>
                <w:rFonts w:cs="Arial"/>
                <w:sz w:val="22"/>
              </w:rPr>
              <w:t>*</w:t>
            </w:r>
          </w:p>
        </w:tc>
        <w:tc>
          <w:tcPr>
            <w:tcW w:w="852" w:type="dxa"/>
            <w:vAlign w:val="center"/>
          </w:tcPr>
          <w:p w14:paraId="30E2B764" w14:textId="24CA4F51" w:rsidR="008F06DB" w:rsidRPr="00852CAC" w:rsidRDefault="00DF1566" w:rsidP="000E210B">
            <w:pPr>
              <w:spacing w:before="0" w:line="240" w:lineRule="auto"/>
              <w:jc w:val="center"/>
              <w:rPr>
                <w:rFonts w:cs="Arial"/>
                <w:color w:val="000000"/>
                <w:sz w:val="22"/>
                <w:lang w:eastAsia="zh-CN"/>
              </w:rPr>
            </w:pPr>
            <w:r w:rsidRPr="002D5612">
              <w:rPr>
                <w:rFonts w:cs="Arial"/>
                <w:i/>
                <w:iCs/>
                <w:sz w:val="22"/>
              </w:rPr>
              <w:t>d =</w:t>
            </w:r>
            <w:r>
              <w:rPr>
                <w:rFonts w:cs="Arial"/>
                <w:sz w:val="22"/>
              </w:rPr>
              <w:t xml:space="preserve"> </w:t>
            </w:r>
            <w:r w:rsidR="008F06DB" w:rsidRPr="00852CAC">
              <w:rPr>
                <w:rFonts w:cs="Arial"/>
                <w:color w:val="000000"/>
                <w:sz w:val="22"/>
              </w:rPr>
              <w:t>0.4</w:t>
            </w:r>
            <w:r>
              <w:rPr>
                <w:rFonts w:cs="Arial"/>
                <w:color w:val="000000"/>
                <w:sz w:val="22"/>
              </w:rPr>
              <w:t>9</w:t>
            </w:r>
          </w:p>
        </w:tc>
        <w:tc>
          <w:tcPr>
            <w:tcW w:w="1134" w:type="dxa"/>
            <w:vAlign w:val="center"/>
          </w:tcPr>
          <w:p w14:paraId="0B6A9788" w14:textId="77777777" w:rsidR="008F06DB" w:rsidRDefault="008F06DB" w:rsidP="000E210B">
            <w:pPr>
              <w:spacing w:before="0"/>
              <w:jc w:val="center"/>
              <w:rPr>
                <w:rFonts w:cs="Arial"/>
                <w:sz w:val="22"/>
              </w:rPr>
            </w:pPr>
            <w:r w:rsidRPr="00852CAC">
              <w:rPr>
                <w:rFonts w:cs="Arial"/>
                <w:sz w:val="22"/>
              </w:rPr>
              <w:t>3.66</w:t>
            </w:r>
          </w:p>
          <w:p w14:paraId="04A23419" w14:textId="1775729A" w:rsidR="00A429FA" w:rsidRPr="0072748E" w:rsidRDefault="00A429FA" w:rsidP="000E210B">
            <w:pPr>
              <w:spacing w:before="0"/>
              <w:jc w:val="center"/>
              <w:rPr>
                <w:rFonts w:cs="Arial"/>
                <w:i/>
                <w:iCs/>
                <w:sz w:val="22"/>
              </w:rPr>
            </w:pPr>
            <w:r w:rsidRPr="0072748E">
              <w:rPr>
                <w:rFonts w:cs="Arial"/>
                <w:i/>
                <w:iCs/>
                <w:sz w:val="22"/>
              </w:rPr>
              <w:t>(</w:t>
            </w:r>
            <w:r w:rsidR="007C043C" w:rsidRPr="0072748E">
              <w:rPr>
                <w:rFonts w:cs="Arial"/>
                <w:i/>
                <w:iCs/>
                <w:sz w:val="22"/>
              </w:rPr>
              <w:t>0.44)</w:t>
            </w:r>
          </w:p>
        </w:tc>
        <w:tc>
          <w:tcPr>
            <w:tcW w:w="1134" w:type="dxa"/>
            <w:vAlign w:val="center"/>
          </w:tcPr>
          <w:p w14:paraId="75152D42" w14:textId="4253D8AB" w:rsidR="008F06DB" w:rsidRDefault="008F06DB" w:rsidP="000E210B">
            <w:pPr>
              <w:spacing w:before="0"/>
              <w:jc w:val="center"/>
              <w:rPr>
                <w:rFonts w:cs="Arial"/>
                <w:sz w:val="22"/>
              </w:rPr>
            </w:pPr>
            <w:r w:rsidRPr="00852CAC">
              <w:rPr>
                <w:rFonts w:cs="Arial"/>
                <w:sz w:val="22"/>
              </w:rPr>
              <w:t>3.9</w:t>
            </w:r>
            <w:r w:rsidR="00DA185B">
              <w:rPr>
                <w:rFonts w:cs="Arial"/>
                <w:sz w:val="22"/>
              </w:rPr>
              <w:t>0</w:t>
            </w:r>
          </w:p>
          <w:p w14:paraId="7CE71E58" w14:textId="7C93728C" w:rsidR="007C043C" w:rsidRPr="0072748E" w:rsidRDefault="007C043C" w:rsidP="000E210B">
            <w:pPr>
              <w:spacing w:before="0"/>
              <w:jc w:val="center"/>
              <w:rPr>
                <w:rFonts w:cs="Arial"/>
                <w:i/>
                <w:iCs/>
                <w:sz w:val="22"/>
              </w:rPr>
            </w:pPr>
            <w:r w:rsidRPr="0072748E">
              <w:rPr>
                <w:rFonts w:cs="Arial"/>
                <w:i/>
                <w:iCs/>
                <w:sz w:val="22"/>
              </w:rPr>
              <w:t>(0.47)</w:t>
            </w:r>
          </w:p>
        </w:tc>
        <w:tc>
          <w:tcPr>
            <w:tcW w:w="1702" w:type="dxa"/>
            <w:vAlign w:val="center"/>
          </w:tcPr>
          <w:p w14:paraId="344ED956" w14:textId="5090BA7D" w:rsidR="00F32021" w:rsidRPr="00852CAC" w:rsidRDefault="00BA7015" w:rsidP="00B71646">
            <w:pPr>
              <w:spacing w:before="0" w:line="240" w:lineRule="auto"/>
              <w:jc w:val="center"/>
              <w:rPr>
                <w:rFonts w:cs="Arial"/>
                <w:color w:val="000000"/>
                <w:sz w:val="22"/>
                <w:lang w:eastAsia="zh-CN"/>
              </w:rPr>
            </w:pPr>
            <w:r w:rsidRPr="00852CAC">
              <w:rPr>
                <w:rFonts w:cs="Arial"/>
                <w:color w:val="000000"/>
                <w:sz w:val="22"/>
                <w:lang w:eastAsia="zh-CN"/>
              </w:rPr>
              <w:t>t(2</w:t>
            </w:r>
            <w:r w:rsidR="00DA185B">
              <w:rPr>
                <w:rFonts w:cs="Arial"/>
                <w:color w:val="000000"/>
                <w:sz w:val="22"/>
                <w:lang w:eastAsia="zh-CN"/>
              </w:rPr>
              <w:t>6</w:t>
            </w:r>
            <w:r w:rsidRPr="00852CAC">
              <w:rPr>
                <w:rFonts w:cs="Arial"/>
                <w:color w:val="000000"/>
                <w:sz w:val="22"/>
                <w:lang w:eastAsia="zh-CN"/>
              </w:rPr>
              <w:t>) = -</w:t>
            </w:r>
            <w:r w:rsidR="00F32021" w:rsidRPr="00852CAC">
              <w:rPr>
                <w:rFonts w:cs="Arial"/>
                <w:color w:val="000000"/>
                <w:sz w:val="22"/>
                <w:lang w:eastAsia="zh-CN"/>
              </w:rPr>
              <w:t>3.07</w:t>
            </w:r>
          </w:p>
          <w:p w14:paraId="5DB56278" w14:textId="52BE2199" w:rsidR="008F06DB" w:rsidRPr="00852CAC" w:rsidRDefault="00F32021" w:rsidP="000E210B">
            <w:pPr>
              <w:spacing w:before="0" w:line="240" w:lineRule="auto"/>
              <w:jc w:val="center"/>
              <w:rPr>
                <w:rFonts w:cs="Arial"/>
                <w:color w:val="000000"/>
                <w:sz w:val="22"/>
                <w:lang w:eastAsia="zh-CN"/>
              </w:rPr>
            </w:pPr>
            <w:r w:rsidRPr="00565682">
              <w:rPr>
                <w:rFonts w:cs="Arial"/>
                <w:i/>
                <w:iCs/>
                <w:color w:val="000000"/>
                <w:sz w:val="22"/>
                <w:lang w:eastAsia="zh-CN"/>
              </w:rPr>
              <w:t>p</w:t>
            </w:r>
            <w:r w:rsidRPr="00852CAC">
              <w:rPr>
                <w:rFonts w:cs="Arial"/>
                <w:color w:val="000000"/>
                <w:sz w:val="22"/>
                <w:lang w:eastAsia="zh-CN"/>
              </w:rPr>
              <w:t>=</w:t>
            </w:r>
            <w:r w:rsidR="00637B2F" w:rsidRPr="00852CAC">
              <w:rPr>
                <w:rFonts w:cs="Arial"/>
                <w:color w:val="000000"/>
                <w:sz w:val="22"/>
                <w:lang w:eastAsia="zh-CN"/>
              </w:rPr>
              <w:t>0.0</w:t>
            </w:r>
            <w:r w:rsidR="00565682">
              <w:rPr>
                <w:rFonts w:cs="Arial"/>
                <w:color w:val="000000"/>
                <w:sz w:val="22"/>
                <w:lang w:eastAsia="zh-CN"/>
              </w:rPr>
              <w:t>1</w:t>
            </w:r>
            <w:r w:rsidR="002D1AD8">
              <w:rPr>
                <w:rFonts w:cs="Arial"/>
                <w:color w:val="000000"/>
                <w:sz w:val="22"/>
                <w:lang w:eastAsia="zh-CN"/>
              </w:rPr>
              <w:t>*</w:t>
            </w:r>
          </w:p>
        </w:tc>
        <w:tc>
          <w:tcPr>
            <w:tcW w:w="853" w:type="dxa"/>
            <w:vAlign w:val="center"/>
          </w:tcPr>
          <w:p w14:paraId="128F8910" w14:textId="356A4CAF" w:rsidR="008F06DB" w:rsidRPr="00852CAC" w:rsidRDefault="00EA049A" w:rsidP="000E210B">
            <w:pPr>
              <w:spacing w:before="0" w:line="240" w:lineRule="auto"/>
              <w:jc w:val="center"/>
              <w:rPr>
                <w:rFonts w:cs="Arial"/>
                <w:color w:val="000000"/>
                <w:sz w:val="22"/>
                <w:lang w:eastAsia="zh-CN"/>
              </w:rPr>
            </w:pPr>
            <w:r w:rsidRPr="002D5612">
              <w:rPr>
                <w:rFonts w:cs="Arial"/>
                <w:i/>
                <w:iCs/>
                <w:sz w:val="22"/>
              </w:rPr>
              <w:t>d =</w:t>
            </w:r>
            <w:r>
              <w:rPr>
                <w:rFonts w:cs="Arial"/>
                <w:sz w:val="22"/>
              </w:rPr>
              <w:t xml:space="preserve"> </w:t>
            </w:r>
            <w:r w:rsidR="008F06DB" w:rsidRPr="00852CAC">
              <w:rPr>
                <w:rFonts w:cs="Arial"/>
                <w:color w:val="000000"/>
                <w:sz w:val="22"/>
              </w:rPr>
              <w:t>0.52</w:t>
            </w:r>
          </w:p>
        </w:tc>
        <w:tc>
          <w:tcPr>
            <w:tcW w:w="1134" w:type="dxa"/>
            <w:vAlign w:val="center"/>
          </w:tcPr>
          <w:p w14:paraId="0158A11A" w14:textId="77777777" w:rsidR="008F06DB" w:rsidRDefault="008F06DB" w:rsidP="000E210B">
            <w:pPr>
              <w:spacing w:before="0"/>
              <w:jc w:val="center"/>
              <w:rPr>
                <w:rFonts w:cs="Arial"/>
                <w:sz w:val="22"/>
              </w:rPr>
            </w:pPr>
            <w:r w:rsidRPr="00852CAC">
              <w:rPr>
                <w:rFonts w:cs="Arial"/>
                <w:sz w:val="22"/>
              </w:rPr>
              <w:t>3.64</w:t>
            </w:r>
          </w:p>
          <w:p w14:paraId="160E13B5" w14:textId="5B4F1BB5" w:rsidR="002F62AA" w:rsidRPr="0072748E" w:rsidRDefault="00411D97" w:rsidP="000E210B">
            <w:pPr>
              <w:spacing w:before="0"/>
              <w:jc w:val="center"/>
              <w:rPr>
                <w:rFonts w:cs="Arial"/>
                <w:i/>
                <w:iCs/>
                <w:sz w:val="22"/>
              </w:rPr>
            </w:pPr>
            <w:r w:rsidRPr="0072748E">
              <w:rPr>
                <w:rFonts w:cs="Arial"/>
                <w:i/>
                <w:iCs/>
                <w:sz w:val="22"/>
              </w:rPr>
              <w:t>(0.4</w:t>
            </w:r>
            <w:r w:rsidR="00DA185B">
              <w:rPr>
                <w:rFonts w:cs="Arial"/>
                <w:i/>
                <w:iCs/>
                <w:sz w:val="22"/>
              </w:rPr>
              <w:t>0</w:t>
            </w:r>
            <w:r w:rsidRPr="0072748E">
              <w:rPr>
                <w:rFonts w:cs="Arial"/>
                <w:i/>
                <w:iCs/>
                <w:sz w:val="22"/>
              </w:rPr>
              <w:t>)</w:t>
            </w:r>
          </w:p>
        </w:tc>
        <w:tc>
          <w:tcPr>
            <w:tcW w:w="1134" w:type="dxa"/>
            <w:vAlign w:val="center"/>
          </w:tcPr>
          <w:p w14:paraId="58E803DF" w14:textId="77777777" w:rsidR="008F06DB" w:rsidRDefault="00C619AE" w:rsidP="000E210B">
            <w:pPr>
              <w:spacing w:before="0"/>
              <w:jc w:val="center"/>
              <w:rPr>
                <w:rFonts w:cs="Arial"/>
                <w:sz w:val="22"/>
              </w:rPr>
            </w:pPr>
            <w:r w:rsidRPr="00852CAC">
              <w:rPr>
                <w:rFonts w:cs="Arial"/>
                <w:sz w:val="22"/>
              </w:rPr>
              <w:t>3.89</w:t>
            </w:r>
          </w:p>
          <w:p w14:paraId="5A1E5AD2" w14:textId="1B2789ED" w:rsidR="00411D97" w:rsidRPr="0072748E" w:rsidRDefault="00411D97" w:rsidP="000E210B">
            <w:pPr>
              <w:spacing w:before="0"/>
              <w:jc w:val="center"/>
              <w:rPr>
                <w:rFonts w:cs="Arial"/>
                <w:i/>
                <w:iCs/>
                <w:sz w:val="22"/>
              </w:rPr>
            </w:pPr>
            <w:r w:rsidRPr="0072748E">
              <w:rPr>
                <w:rFonts w:cs="Arial"/>
                <w:i/>
                <w:iCs/>
                <w:sz w:val="22"/>
              </w:rPr>
              <w:t>(0.49)</w:t>
            </w:r>
          </w:p>
        </w:tc>
        <w:tc>
          <w:tcPr>
            <w:tcW w:w="1702" w:type="dxa"/>
            <w:vAlign w:val="center"/>
          </w:tcPr>
          <w:p w14:paraId="5D584296" w14:textId="0FFC8B20" w:rsidR="00F32021" w:rsidRPr="00852CAC" w:rsidRDefault="00F32021" w:rsidP="000E210B">
            <w:pPr>
              <w:spacing w:before="0"/>
              <w:jc w:val="center"/>
              <w:rPr>
                <w:rFonts w:cs="Arial"/>
                <w:color w:val="000000"/>
                <w:sz w:val="22"/>
                <w:lang w:eastAsia="zh-CN"/>
              </w:rPr>
            </w:pPr>
            <w:r w:rsidRPr="00852CAC">
              <w:rPr>
                <w:rFonts w:cs="Arial"/>
                <w:color w:val="000000"/>
                <w:sz w:val="22"/>
                <w:lang w:eastAsia="zh-CN"/>
              </w:rPr>
              <w:t>t(</w:t>
            </w:r>
            <w:r w:rsidR="00DA185B">
              <w:rPr>
                <w:rFonts w:cs="Arial"/>
                <w:color w:val="000000"/>
                <w:sz w:val="22"/>
                <w:lang w:eastAsia="zh-CN"/>
              </w:rPr>
              <w:t>17</w:t>
            </w:r>
            <w:r w:rsidRPr="00852CAC">
              <w:rPr>
                <w:rFonts w:cs="Arial"/>
                <w:color w:val="000000"/>
                <w:sz w:val="22"/>
                <w:lang w:eastAsia="zh-CN"/>
              </w:rPr>
              <w:t>) = -2.47</w:t>
            </w:r>
          </w:p>
          <w:p w14:paraId="3516CEE9" w14:textId="1A95E23B" w:rsidR="008F06DB" w:rsidRPr="00852CAC" w:rsidRDefault="00F32021" w:rsidP="000E210B">
            <w:pPr>
              <w:spacing w:before="0"/>
              <w:jc w:val="center"/>
              <w:rPr>
                <w:rFonts w:cs="Arial"/>
                <w:sz w:val="22"/>
              </w:rPr>
            </w:pPr>
            <w:r w:rsidRPr="005322C5">
              <w:rPr>
                <w:rFonts w:cs="Arial"/>
                <w:i/>
                <w:iCs/>
                <w:sz w:val="22"/>
              </w:rPr>
              <w:t>p</w:t>
            </w:r>
            <w:r w:rsidRPr="00852CAC">
              <w:rPr>
                <w:rFonts w:cs="Arial"/>
                <w:sz w:val="22"/>
              </w:rPr>
              <w:t>=</w:t>
            </w:r>
            <w:r w:rsidR="00C619AE" w:rsidRPr="00852CAC">
              <w:rPr>
                <w:rFonts w:cs="Arial"/>
                <w:sz w:val="22"/>
              </w:rPr>
              <w:t>0.02</w:t>
            </w:r>
            <w:r w:rsidR="00EC144A">
              <w:rPr>
                <w:rFonts w:cs="Arial"/>
                <w:sz w:val="22"/>
              </w:rPr>
              <w:t>*</w:t>
            </w:r>
          </w:p>
        </w:tc>
        <w:tc>
          <w:tcPr>
            <w:tcW w:w="880" w:type="dxa"/>
            <w:vAlign w:val="center"/>
          </w:tcPr>
          <w:p w14:paraId="470C9769" w14:textId="3C29C8CD" w:rsidR="008F06DB" w:rsidRPr="00852CAC" w:rsidRDefault="002D5612" w:rsidP="000E210B">
            <w:pPr>
              <w:spacing w:before="0"/>
              <w:jc w:val="center"/>
              <w:rPr>
                <w:rFonts w:cs="Arial"/>
                <w:sz w:val="22"/>
              </w:rPr>
            </w:pPr>
            <w:r w:rsidRPr="002D5612">
              <w:rPr>
                <w:rFonts w:cs="Arial"/>
                <w:i/>
                <w:iCs/>
                <w:sz w:val="22"/>
              </w:rPr>
              <w:t>d =</w:t>
            </w:r>
            <w:r>
              <w:rPr>
                <w:rFonts w:cs="Arial"/>
                <w:sz w:val="22"/>
              </w:rPr>
              <w:t xml:space="preserve"> </w:t>
            </w:r>
            <w:r w:rsidR="00C958C2" w:rsidRPr="00852CAC">
              <w:rPr>
                <w:rFonts w:cs="Arial"/>
                <w:sz w:val="22"/>
              </w:rPr>
              <w:t>0.6</w:t>
            </w:r>
            <w:r>
              <w:rPr>
                <w:rFonts w:cs="Arial"/>
                <w:sz w:val="22"/>
              </w:rPr>
              <w:t>4</w:t>
            </w:r>
          </w:p>
        </w:tc>
      </w:tr>
      <w:tr w:rsidR="00C00C58" w14:paraId="74C6565A" w14:textId="2F1847B6" w:rsidTr="006E61E7">
        <w:trPr>
          <w:trHeight w:val="821"/>
          <w:jc w:val="center"/>
        </w:trPr>
        <w:tc>
          <w:tcPr>
            <w:tcW w:w="1586" w:type="dxa"/>
            <w:shd w:val="clear" w:color="auto" w:fill="E0E0E1" w:themeFill="background2"/>
            <w:vAlign w:val="center"/>
          </w:tcPr>
          <w:p w14:paraId="6E9A74A1" w14:textId="0B747648" w:rsidR="008F06DB" w:rsidRPr="00637B2F" w:rsidRDefault="00637B2F" w:rsidP="000E210B">
            <w:pPr>
              <w:spacing w:before="0"/>
              <w:rPr>
                <w:rFonts w:cs="Arial"/>
                <w:b/>
                <w:bCs/>
                <w:szCs w:val="24"/>
              </w:rPr>
            </w:pPr>
            <w:r w:rsidRPr="00637B2F">
              <w:rPr>
                <w:rFonts w:cs="Arial"/>
                <w:b/>
                <w:bCs/>
                <w:szCs w:val="24"/>
              </w:rPr>
              <w:t>Support</w:t>
            </w:r>
          </w:p>
        </w:tc>
        <w:tc>
          <w:tcPr>
            <w:tcW w:w="1155" w:type="dxa"/>
            <w:vAlign w:val="center"/>
          </w:tcPr>
          <w:p w14:paraId="162A3B46" w14:textId="77777777" w:rsidR="008F06DB" w:rsidRDefault="008F06DB" w:rsidP="000E210B">
            <w:pPr>
              <w:spacing w:before="0"/>
              <w:jc w:val="center"/>
              <w:rPr>
                <w:rFonts w:cs="Arial"/>
                <w:sz w:val="22"/>
              </w:rPr>
            </w:pPr>
            <w:r w:rsidRPr="00852CAC">
              <w:rPr>
                <w:rFonts w:cs="Arial"/>
                <w:sz w:val="22"/>
              </w:rPr>
              <w:t>3.59</w:t>
            </w:r>
          </w:p>
          <w:p w14:paraId="3679461D" w14:textId="798F1B42" w:rsidR="004D24F1" w:rsidRPr="0072748E" w:rsidRDefault="004D24F1" w:rsidP="000E210B">
            <w:pPr>
              <w:spacing w:before="0"/>
              <w:jc w:val="center"/>
              <w:rPr>
                <w:rFonts w:cs="Arial"/>
                <w:i/>
                <w:iCs/>
                <w:sz w:val="22"/>
              </w:rPr>
            </w:pPr>
            <w:r w:rsidRPr="0072748E">
              <w:rPr>
                <w:rFonts w:cs="Arial"/>
                <w:i/>
                <w:iCs/>
                <w:sz w:val="22"/>
              </w:rPr>
              <w:t>(0.84)</w:t>
            </w:r>
          </w:p>
        </w:tc>
        <w:tc>
          <w:tcPr>
            <w:tcW w:w="1155" w:type="dxa"/>
            <w:vAlign w:val="center"/>
          </w:tcPr>
          <w:p w14:paraId="147C6990" w14:textId="77777777" w:rsidR="008F06DB" w:rsidRDefault="008F06DB" w:rsidP="000E210B">
            <w:pPr>
              <w:spacing w:before="0"/>
              <w:jc w:val="center"/>
              <w:rPr>
                <w:rFonts w:cs="Arial"/>
                <w:sz w:val="22"/>
              </w:rPr>
            </w:pPr>
            <w:r w:rsidRPr="00852CAC">
              <w:rPr>
                <w:rFonts w:cs="Arial"/>
                <w:sz w:val="22"/>
              </w:rPr>
              <w:t>4.27</w:t>
            </w:r>
          </w:p>
          <w:p w14:paraId="1732768E" w14:textId="0C2FE5EE" w:rsidR="004D24F1" w:rsidRPr="0072748E" w:rsidRDefault="000835E2" w:rsidP="000E210B">
            <w:pPr>
              <w:spacing w:before="0"/>
              <w:jc w:val="center"/>
              <w:rPr>
                <w:rFonts w:cs="Arial"/>
                <w:i/>
                <w:iCs/>
                <w:sz w:val="22"/>
              </w:rPr>
            </w:pPr>
            <w:r w:rsidRPr="0072748E">
              <w:rPr>
                <w:rFonts w:cs="Arial"/>
                <w:i/>
                <w:iCs/>
                <w:sz w:val="22"/>
              </w:rPr>
              <w:t>(0.64)</w:t>
            </w:r>
          </w:p>
        </w:tc>
        <w:tc>
          <w:tcPr>
            <w:tcW w:w="1626" w:type="dxa"/>
            <w:vAlign w:val="center"/>
          </w:tcPr>
          <w:p w14:paraId="247EEC83" w14:textId="21085ADD" w:rsidR="00611FFA" w:rsidRPr="00852CAC" w:rsidRDefault="00611FFA" w:rsidP="000E210B">
            <w:pPr>
              <w:spacing w:before="0"/>
              <w:jc w:val="center"/>
              <w:rPr>
                <w:rFonts w:cs="Arial"/>
                <w:sz w:val="22"/>
              </w:rPr>
            </w:pPr>
            <w:r w:rsidRPr="00852CAC">
              <w:rPr>
                <w:rFonts w:cs="Arial"/>
                <w:sz w:val="22"/>
              </w:rPr>
              <w:t>z = -3.0</w:t>
            </w:r>
            <w:r w:rsidR="00265A19">
              <w:rPr>
                <w:rFonts w:cs="Arial"/>
                <w:sz w:val="22"/>
              </w:rPr>
              <w:t>5</w:t>
            </w:r>
          </w:p>
          <w:p w14:paraId="6583A9AA" w14:textId="4B3242DE" w:rsidR="008F06DB" w:rsidRPr="00852CAC" w:rsidRDefault="00611FFA" w:rsidP="000E210B">
            <w:pPr>
              <w:spacing w:before="0"/>
              <w:jc w:val="center"/>
              <w:rPr>
                <w:rFonts w:cs="Arial"/>
                <w:sz w:val="22"/>
              </w:rPr>
            </w:pPr>
            <w:r w:rsidRPr="00265A19">
              <w:rPr>
                <w:rFonts w:cs="Arial"/>
                <w:i/>
                <w:iCs/>
                <w:sz w:val="22"/>
              </w:rPr>
              <w:t>p</w:t>
            </w:r>
            <w:r w:rsidR="008F06DB" w:rsidRPr="00852CAC">
              <w:rPr>
                <w:rFonts w:cs="Arial"/>
                <w:sz w:val="22"/>
              </w:rPr>
              <w:t>&lt;0.001</w:t>
            </w:r>
            <w:r w:rsidR="00EC144A">
              <w:rPr>
                <w:rFonts w:cs="Arial"/>
                <w:sz w:val="22"/>
              </w:rPr>
              <w:t>**</w:t>
            </w:r>
          </w:p>
        </w:tc>
        <w:tc>
          <w:tcPr>
            <w:tcW w:w="852" w:type="dxa"/>
            <w:vAlign w:val="center"/>
          </w:tcPr>
          <w:p w14:paraId="0710C484" w14:textId="3D4ADEB4" w:rsidR="008F06DB" w:rsidRPr="00852CAC" w:rsidRDefault="00DF1566" w:rsidP="000E210B">
            <w:pPr>
              <w:spacing w:before="0" w:line="240" w:lineRule="auto"/>
              <w:jc w:val="center"/>
              <w:rPr>
                <w:rFonts w:cs="Arial"/>
                <w:color w:val="000000"/>
                <w:sz w:val="22"/>
                <w:lang w:eastAsia="zh-CN"/>
              </w:rPr>
            </w:pPr>
            <w:r w:rsidRPr="002D5612">
              <w:rPr>
                <w:rFonts w:cs="Arial"/>
                <w:i/>
                <w:iCs/>
                <w:sz w:val="22"/>
              </w:rPr>
              <w:t>r</w:t>
            </w:r>
            <w:r>
              <w:rPr>
                <w:rFonts w:cs="Arial"/>
                <w:sz w:val="22"/>
              </w:rPr>
              <w:t xml:space="preserve"> = </w:t>
            </w:r>
            <w:r w:rsidR="008F06DB" w:rsidRPr="00852CAC">
              <w:rPr>
                <w:rFonts w:cs="Arial"/>
                <w:color w:val="000000"/>
                <w:sz w:val="22"/>
              </w:rPr>
              <w:t>0.55</w:t>
            </w:r>
          </w:p>
        </w:tc>
        <w:tc>
          <w:tcPr>
            <w:tcW w:w="1134" w:type="dxa"/>
            <w:vAlign w:val="center"/>
          </w:tcPr>
          <w:p w14:paraId="394797C4" w14:textId="77777777" w:rsidR="008F06DB" w:rsidRDefault="008F06DB" w:rsidP="000E210B">
            <w:pPr>
              <w:spacing w:before="0"/>
              <w:jc w:val="center"/>
              <w:rPr>
                <w:rFonts w:cs="Arial"/>
                <w:sz w:val="22"/>
              </w:rPr>
            </w:pPr>
            <w:r w:rsidRPr="00852CAC">
              <w:rPr>
                <w:rFonts w:cs="Arial"/>
                <w:sz w:val="22"/>
              </w:rPr>
              <w:t>3.4</w:t>
            </w:r>
            <w:r w:rsidR="00304A11" w:rsidRPr="00852CAC">
              <w:rPr>
                <w:rFonts w:cs="Arial"/>
                <w:sz w:val="22"/>
              </w:rPr>
              <w:t>8</w:t>
            </w:r>
          </w:p>
          <w:p w14:paraId="294FA2B1" w14:textId="3320BFE5" w:rsidR="007C043C" w:rsidRPr="0072748E" w:rsidRDefault="007C043C" w:rsidP="000E210B">
            <w:pPr>
              <w:spacing w:before="0"/>
              <w:jc w:val="center"/>
              <w:rPr>
                <w:rFonts w:cs="Arial"/>
                <w:i/>
                <w:iCs/>
                <w:sz w:val="22"/>
              </w:rPr>
            </w:pPr>
            <w:r w:rsidRPr="0072748E">
              <w:rPr>
                <w:rFonts w:cs="Arial"/>
                <w:i/>
                <w:iCs/>
                <w:sz w:val="22"/>
              </w:rPr>
              <w:t>(0.89)</w:t>
            </w:r>
          </w:p>
        </w:tc>
        <w:tc>
          <w:tcPr>
            <w:tcW w:w="1134" w:type="dxa"/>
            <w:vAlign w:val="center"/>
          </w:tcPr>
          <w:p w14:paraId="4EB8D5AA" w14:textId="77777777" w:rsidR="008F06DB" w:rsidRDefault="008F06DB" w:rsidP="000E210B">
            <w:pPr>
              <w:spacing w:before="0"/>
              <w:jc w:val="center"/>
              <w:rPr>
                <w:rFonts w:cs="Arial"/>
                <w:sz w:val="22"/>
              </w:rPr>
            </w:pPr>
            <w:r w:rsidRPr="00852CAC">
              <w:rPr>
                <w:rFonts w:cs="Arial"/>
                <w:sz w:val="22"/>
              </w:rPr>
              <w:t>4</w:t>
            </w:r>
            <w:r w:rsidR="00FB00A5" w:rsidRPr="00852CAC">
              <w:rPr>
                <w:rFonts w:cs="Arial"/>
                <w:sz w:val="22"/>
              </w:rPr>
              <w:t>.04</w:t>
            </w:r>
          </w:p>
          <w:p w14:paraId="5881D5C1" w14:textId="4329F724" w:rsidR="007C043C" w:rsidRPr="0072748E" w:rsidRDefault="007C043C" w:rsidP="000E210B">
            <w:pPr>
              <w:spacing w:before="0"/>
              <w:jc w:val="center"/>
              <w:rPr>
                <w:rFonts w:cs="Arial"/>
                <w:i/>
                <w:iCs/>
                <w:sz w:val="22"/>
              </w:rPr>
            </w:pPr>
            <w:r w:rsidRPr="0072748E">
              <w:rPr>
                <w:rFonts w:cs="Arial"/>
                <w:i/>
                <w:iCs/>
                <w:sz w:val="22"/>
              </w:rPr>
              <w:t>(0.59)</w:t>
            </w:r>
          </w:p>
        </w:tc>
        <w:tc>
          <w:tcPr>
            <w:tcW w:w="1702" w:type="dxa"/>
            <w:vAlign w:val="center"/>
          </w:tcPr>
          <w:p w14:paraId="2A28EB7C" w14:textId="18FD24A3" w:rsidR="000E793C" w:rsidRPr="00852CAC" w:rsidRDefault="00565682" w:rsidP="000E210B">
            <w:pPr>
              <w:spacing w:before="0"/>
              <w:jc w:val="center"/>
              <w:rPr>
                <w:rFonts w:cs="Arial"/>
                <w:sz w:val="22"/>
              </w:rPr>
            </w:pPr>
            <w:r>
              <w:rPr>
                <w:rFonts w:cs="Arial"/>
                <w:sz w:val="22"/>
              </w:rPr>
              <w:t xml:space="preserve">z </w:t>
            </w:r>
            <w:r w:rsidR="00F118B0" w:rsidRPr="00852CAC">
              <w:rPr>
                <w:rFonts w:cs="Arial"/>
                <w:sz w:val="22"/>
              </w:rPr>
              <w:t>= -</w:t>
            </w:r>
            <w:r w:rsidR="000E793C" w:rsidRPr="00852CAC">
              <w:rPr>
                <w:rFonts w:cs="Arial"/>
                <w:sz w:val="22"/>
              </w:rPr>
              <w:t>2.7</w:t>
            </w:r>
            <w:r w:rsidR="00533407">
              <w:rPr>
                <w:rFonts w:cs="Arial"/>
                <w:sz w:val="22"/>
              </w:rPr>
              <w:t>4</w:t>
            </w:r>
          </w:p>
          <w:p w14:paraId="6F21369E" w14:textId="623C1172" w:rsidR="008F06DB" w:rsidRPr="00852CAC" w:rsidRDefault="000E793C" w:rsidP="000E210B">
            <w:pPr>
              <w:spacing w:before="0"/>
              <w:jc w:val="center"/>
              <w:rPr>
                <w:rFonts w:cs="Arial"/>
                <w:sz w:val="22"/>
              </w:rPr>
            </w:pPr>
            <w:r w:rsidRPr="00184165">
              <w:rPr>
                <w:rFonts w:cs="Arial"/>
                <w:i/>
                <w:iCs/>
                <w:sz w:val="22"/>
              </w:rPr>
              <w:t>p</w:t>
            </w:r>
            <w:r w:rsidRPr="00852CAC">
              <w:rPr>
                <w:rFonts w:cs="Arial"/>
                <w:sz w:val="22"/>
              </w:rPr>
              <w:t>=</w:t>
            </w:r>
            <w:r w:rsidR="004514C2" w:rsidRPr="00852CAC">
              <w:rPr>
                <w:rFonts w:cs="Arial"/>
                <w:sz w:val="22"/>
              </w:rPr>
              <w:t>0.0</w:t>
            </w:r>
            <w:r w:rsidR="004B7074">
              <w:rPr>
                <w:rFonts w:cs="Arial"/>
                <w:sz w:val="22"/>
              </w:rPr>
              <w:t>1</w:t>
            </w:r>
            <w:r w:rsidR="00EC144A">
              <w:rPr>
                <w:rFonts w:cs="Arial"/>
                <w:sz w:val="22"/>
              </w:rPr>
              <w:t>*</w:t>
            </w:r>
          </w:p>
        </w:tc>
        <w:tc>
          <w:tcPr>
            <w:tcW w:w="853" w:type="dxa"/>
            <w:vAlign w:val="center"/>
          </w:tcPr>
          <w:p w14:paraId="68392ED3" w14:textId="272F3C47" w:rsidR="008F06DB" w:rsidRPr="00852CAC" w:rsidRDefault="00EA049A" w:rsidP="000E210B">
            <w:pPr>
              <w:spacing w:before="0" w:line="240" w:lineRule="auto"/>
              <w:jc w:val="center"/>
              <w:rPr>
                <w:rFonts w:cs="Arial"/>
                <w:color w:val="000000"/>
                <w:sz w:val="22"/>
                <w:lang w:eastAsia="zh-CN"/>
              </w:rPr>
            </w:pPr>
            <w:r w:rsidRPr="002D5612">
              <w:rPr>
                <w:rFonts w:cs="Arial"/>
                <w:i/>
                <w:iCs/>
                <w:sz w:val="22"/>
              </w:rPr>
              <w:t>r</w:t>
            </w:r>
            <w:r>
              <w:rPr>
                <w:rFonts w:cs="Arial"/>
                <w:sz w:val="22"/>
              </w:rPr>
              <w:t xml:space="preserve"> = </w:t>
            </w:r>
            <w:r w:rsidR="008F06DB" w:rsidRPr="00852CAC">
              <w:rPr>
                <w:rFonts w:cs="Arial"/>
                <w:color w:val="000000"/>
                <w:sz w:val="22"/>
              </w:rPr>
              <w:t>0.37</w:t>
            </w:r>
          </w:p>
        </w:tc>
        <w:tc>
          <w:tcPr>
            <w:tcW w:w="1134" w:type="dxa"/>
            <w:vAlign w:val="center"/>
          </w:tcPr>
          <w:p w14:paraId="608CBC35" w14:textId="77777777" w:rsidR="008F06DB" w:rsidRDefault="00E64BB0" w:rsidP="000E210B">
            <w:pPr>
              <w:spacing w:before="0"/>
              <w:jc w:val="center"/>
              <w:rPr>
                <w:rFonts w:cs="Arial"/>
                <w:sz w:val="22"/>
              </w:rPr>
            </w:pPr>
            <w:r w:rsidRPr="00852CAC">
              <w:rPr>
                <w:rFonts w:cs="Arial"/>
                <w:sz w:val="22"/>
              </w:rPr>
              <w:t>3.44</w:t>
            </w:r>
          </w:p>
          <w:p w14:paraId="5183D3E1" w14:textId="338E0973" w:rsidR="00411D97" w:rsidRPr="0072748E" w:rsidRDefault="00411D97" w:rsidP="000E210B">
            <w:pPr>
              <w:spacing w:before="0"/>
              <w:jc w:val="center"/>
              <w:rPr>
                <w:rFonts w:cs="Arial"/>
                <w:i/>
                <w:iCs/>
                <w:sz w:val="22"/>
              </w:rPr>
            </w:pPr>
            <w:r w:rsidRPr="0072748E">
              <w:rPr>
                <w:rFonts w:cs="Arial"/>
                <w:i/>
                <w:iCs/>
                <w:sz w:val="22"/>
              </w:rPr>
              <w:t>(0.7)</w:t>
            </w:r>
          </w:p>
        </w:tc>
        <w:tc>
          <w:tcPr>
            <w:tcW w:w="1134" w:type="dxa"/>
            <w:vAlign w:val="center"/>
          </w:tcPr>
          <w:p w14:paraId="77915124" w14:textId="67CCF716" w:rsidR="008F06DB" w:rsidRDefault="00E64BB0" w:rsidP="000E210B">
            <w:pPr>
              <w:spacing w:before="0"/>
              <w:jc w:val="center"/>
              <w:rPr>
                <w:rFonts w:cs="Arial"/>
                <w:sz w:val="22"/>
              </w:rPr>
            </w:pPr>
            <w:r w:rsidRPr="00852CAC">
              <w:rPr>
                <w:rFonts w:cs="Arial"/>
                <w:sz w:val="22"/>
              </w:rPr>
              <w:t>4</w:t>
            </w:r>
            <w:r w:rsidR="004B7074">
              <w:rPr>
                <w:rFonts w:cs="Arial"/>
                <w:sz w:val="22"/>
              </w:rPr>
              <w:t>.00</w:t>
            </w:r>
          </w:p>
          <w:p w14:paraId="7AD25ED2" w14:textId="7FC47E40" w:rsidR="00411D97" w:rsidRPr="0072748E" w:rsidRDefault="00411D97" w:rsidP="000E210B">
            <w:pPr>
              <w:spacing w:before="0"/>
              <w:jc w:val="center"/>
              <w:rPr>
                <w:rFonts w:cs="Arial"/>
                <w:i/>
                <w:iCs/>
                <w:sz w:val="22"/>
              </w:rPr>
            </w:pPr>
            <w:r w:rsidRPr="0072748E">
              <w:rPr>
                <w:rFonts w:cs="Arial"/>
                <w:i/>
                <w:iCs/>
                <w:sz w:val="22"/>
              </w:rPr>
              <w:t>(0.49)</w:t>
            </w:r>
          </w:p>
        </w:tc>
        <w:tc>
          <w:tcPr>
            <w:tcW w:w="1702" w:type="dxa"/>
            <w:vAlign w:val="center"/>
          </w:tcPr>
          <w:p w14:paraId="40AD18FB" w14:textId="3BF23FAB" w:rsidR="00C43209" w:rsidRPr="00852CAC" w:rsidRDefault="00DA5AED" w:rsidP="000E210B">
            <w:pPr>
              <w:spacing w:before="0"/>
              <w:jc w:val="center"/>
              <w:rPr>
                <w:rFonts w:cs="Arial"/>
                <w:sz w:val="22"/>
              </w:rPr>
            </w:pPr>
            <w:r w:rsidRPr="00852CAC">
              <w:rPr>
                <w:rFonts w:cs="Arial"/>
                <w:sz w:val="22"/>
              </w:rPr>
              <w:t>z = -</w:t>
            </w:r>
            <w:r w:rsidR="00C43209" w:rsidRPr="00852CAC">
              <w:rPr>
                <w:rFonts w:cs="Arial"/>
                <w:sz w:val="22"/>
              </w:rPr>
              <w:t>2.8</w:t>
            </w:r>
            <w:r w:rsidR="00533407">
              <w:rPr>
                <w:rFonts w:cs="Arial"/>
                <w:sz w:val="22"/>
              </w:rPr>
              <w:t>9</w:t>
            </w:r>
          </w:p>
          <w:p w14:paraId="49643282" w14:textId="00837CD4" w:rsidR="008F06DB" w:rsidRPr="00852CAC" w:rsidRDefault="00C43209" w:rsidP="000E210B">
            <w:pPr>
              <w:spacing w:before="0"/>
              <w:jc w:val="center"/>
              <w:rPr>
                <w:rFonts w:cs="Arial"/>
                <w:sz w:val="22"/>
              </w:rPr>
            </w:pPr>
            <w:r w:rsidRPr="005322C5">
              <w:rPr>
                <w:rFonts w:cs="Arial"/>
                <w:i/>
                <w:iCs/>
                <w:sz w:val="22"/>
              </w:rPr>
              <w:t>p</w:t>
            </w:r>
            <w:r w:rsidRPr="00852CAC">
              <w:rPr>
                <w:rFonts w:cs="Arial"/>
                <w:sz w:val="22"/>
              </w:rPr>
              <w:t>=</w:t>
            </w:r>
            <w:r w:rsidR="008F06DB" w:rsidRPr="00852CAC">
              <w:rPr>
                <w:rFonts w:cs="Arial"/>
                <w:sz w:val="22"/>
              </w:rPr>
              <w:t>0.004</w:t>
            </w:r>
            <w:r w:rsidR="00C407FF">
              <w:rPr>
                <w:rFonts w:cs="Arial"/>
                <w:sz w:val="22"/>
              </w:rPr>
              <w:t>*</w:t>
            </w:r>
          </w:p>
        </w:tc>
        <w:tc>
          <w:tcPr>
            <w:tcW w:w="880" w:type="dxa"/>
            <w:vAlign w:val="center"/>
          </w:tcPr>
          <w:p w14:paraId="23F281EA" w14:textId="5B86FDD1" w:rsidR="008F06DB" w:rsidRPr="00852CAC" w:rsidRDefault="002D5612" w:rsidP="000E210B">
            <w:pPr>
              <w:spacing w:before="0"/>
              <w:jc w:val="center"/>
              <w:rPr>
                <w:rFonts w:cs="Arial"/>
                <w:sz w:val="22"/>
              </w:rPr>
            </w:pPr>
            <w:r w:rsidRPr="002D5612">
              <w:rPr>
                <w:rFonts w:cs="Arial"/>
                <w:i/>
                <w:iCs/>
                <w:sz w:val="22"/>
              </w:rPr>
              <w:t>r</w:t>
            </w:r>
            <w:r>
              <w:rPr>
                <w:rFonts w:cs="Arial"/>
                <w:sz w:val="22"/>
              </w:rPr>
              <w:t xml:space="preserve"> = </w:t>
            </w:r>
            <w:r w:rsidR="00C958C2" w:rsidRPr="00852CAC">
              <w:rPr>
                <w:rFonts w:cs="Arial"/>
                <w:sz w:val="22"/>
              </w:rPr>
              <w:t>0.48</w:t>
            </w:r>
          </w:p>
        </w:tc>
      </w:tr>
      <w:tr w:rsidR="00C00C58" w14:paraId="682D3606" w14:textId="77777777" w:rsidTr="006E61E7">
        <w:trPr>
          <w:trHeight w:val="1287"/>
          <w:jc w:val="center"/>
        </w:trPr>
        <w:tc>
          <w:tcPr>
            <w:tcW w:w="1586" w:type="dxa"/>
            <w:shd w:val="clear" w:color="auto" w:fill="E0E0E1" w:themeFill="background2"/>
            <w:vAlign w:val="center"/>
          </w:tcPr>
          <w:p w14:paraId="3FDDCEFC" w14:textId="7406594B" w:rsidR="008F06DB" w:rsidRPr="00637B2F" w:rsidRDefault="008F06DB" w:rsidP="000E210B">
            <w:pPr>
              <w:spacing w:before="0"/>
              <w:rPr>
                <w:rFonts w:cs="Arial"/>
                <w:b/>
                <w:bCs/>
                <w:szCs w:val="24"/>
              </w:rPr>
            </w:pPr>
            <w:r w:rsidRPr="00637B2F">
              <w:rPr>
                <w:rFonts w:cs="Arial"/>
                <w:b/>
                <w:bCs/>
                <w:szCs w:val="24"/>
              </w:rPr>
              <w:t>Confidence</w:t>
            </w:r>
          </w:p>
        </w:tc>
        <w:tc>
          <w:tcPr>
            <w:tcW w:w="1155" w:type="dxa"/>
            <w:vAlign w:val="center"/>
          </w:tcPr>
          <w:p w14:paraId="714809D9" w14:textId="6DC1E3FA" w:rsidR="008F06DB" w:rsidRDefault="008F06DB" w:rsidP="000E210B">
            <w:pPr>
              <w:spacing w:before="0"/>
              <w:jc w:val="center"/>
              <w:rPr>
                <w:rFonts w:cs="Arial"/>
                <w:sz w:val="22"/>
              </w:rPr>
            </w:pPr>
            <w:r w:rsidRPr="00852CAC">
              <w:rPr>
                <w:rFonts w:cs="Arial"/>
                <w:sz w:val="22"/>
              </w:rPr>
              <w:t>3.2</w:t>
            </w:r>
            <w:r w:rsidR="00DA185B">
              <w:rPr>
                <w:rFonts w:cs="Arial"/>
                <w:sz w:val="22"/>
              </w:rPr>
              <w:t>0</w:t>
            </w:r>
          </w:p>
          <w:p w14:paraId="3B5A5E42" w14:textId="3153DCD5" w:rsidR="000835E2" w:rsidRPr="0072748E" w:rsidRDefault="000835E2" w:rsidP="000E210B">
            <w:pPr>
              <w:spacing w:before="0"/>
              <w:jc w:val="center"/>
              <w:rPr>
                <w:rFonts w:cs="Arial"/>
                <w:i/>
                <w:iCs/>
                <w:sz w:val="22"/>
              </w:rPr>
            </w:pPr>
            <w:r w:rsidRPr="0072748E">
              <w:rPr>
                <w:rFonts w:cs="Arial"/>
                <w:i/>
                <w:iCs/>
                <w:sz w:val="22"/>
              </w:rPr>
              <w:t>(0.87)</w:t>
            </w:r>
          </w:p>
        </w:tc>
        <w:tc>
          <w:tcPr>
            <w:tcW w:w="1155" w:type="dxa"/>
            <w:vAlign w:val="center"/>
          </w:tcPr>
          <w:p w14:paraId="6841FE5C" w14:textId="77777777" w:rsidR="008F06DB" w:rsidRDefault="008F06DB" w:rsidP="000E210B">
            <w:pPr>
              <w:spacing w:before="0"/>
              <w:jc w:val="center"/>
              <w:rPr>
                <w:rFonts w:cs="Arial"/>
                <w:sz w:val="22"/>
              </w:rPr>
            </w:pPr>
            <w:r w:rsidRPr="00852CAC">
              <w:rPr>
                <w:rFonts w:cs="Arial"/>
                <w:sz w:val="22"/>
              </w:rPr>
              <w:t>3.8</w:t>
            </w:r>
          </w:p>
          <w:p w14:paraId="0946F003" w14:textId="4A1D3FEF" w:rsidR="000835E2" w:rsidRPr="0072748E" w:rsidRDefault="000835E2" w:rsidP="000E210B">
            <w:pPr>
              <w:spacing w:before="0"/>
              <w:jc w:val="center"/>
              <w:rPr>
                <w:rFonts w:cs="Arial"/>
                <w:i/>
                <w:iCs/>
                <w:sz w:val="22"/>
              </w:rPr>
            </w:pPr>
            <w:r w:rsidRPr="0072748E">
              <w:rPr>
                <w:rFonts w:cs="Arial"/>
                <w:i/>
                <w:iCs/>
                <w:sz w:val="22"/>
              </w:rPr>
              <w:t>(0.68)</w:t>
            </w:r>
          </w:p>
        </w:tc>
        <w:tc>
          <w:tcPr>
            <w:tcW w:w="1626" w:type="dxa"/>
            <w:vAlign w:val="center"/>
          </w:tcPr>
          <w:p w14:paraId="7AE3A8F6" w14:textId="407331E6" w:rsidR="00277888" w:rsidRPr="00852CAC" w:rsidRDefault="00611FFA" w:rsidP="000E210B">
            <w:pPr>
              <w:spacing w:before="0"/>
              <w:jc w:val="center"/>
              <w:rPr>
                <w:rFonts w:cs="Arial"/>
                <w:sz w:val="22"/>
              </w:rPr>
            </w:pPr>
            <w:r w:rsidRPr="00852CAC">
              <w:rPr>
                <w:rFonts w:cs="Arial"/>
                <w:sz w:val="22"/>
              </w:rPr>
              <w:t>z = -</w:t>
            </w:r>
            <w:r w:rsidR="00277888" w:rsidRPr="00852CAC">
              <w:rPr>
                <w:rFonts w:cs="Arial"/>
                <w:sz w:val="22"/>
              </w:rPr>
              <w:t>3.8</w:t>
            </w:r>
            <w:r w:rsidR="005E2768">
              <w:rPr>
                <w:rFonts w:cs="Arial"/>
                <w:sz w:val="22"/>
              </w:rPr>
              <w:t>7</w:t>
            </w:r>
          </w:p>
          <w:p w14:paraId="14DED31C" w14:textId="12DC9C12" w:rsidR="008F06DB" w:rsidRPr="00852CAC" w:rsidRDefault="00277888" w:rsidP="000E210B">
            <w:pPr>
              <w:spacing w:before="0"/>
              <w:jc w:val="center"/>
              <w:rPr>
                <w:rFonts w:cs="Arial"/>
                <w:sz w:val="22"/>
              </w:rPr>
            </w:pPr>
            <w:r w:rsidRPr="00265A19">
              <w:rPr>
                <w:rFonts w:cs="Arial"/>
                <w:i/>
                <w:iCs/>
                <w:sz w:val="22"/>
              </w:rPr>
              <w:t>p</w:t>
            </w:r>
            <w:r w:rsidR="008F06DB" w:rsidRPr="00852CAC">
              <w:rPr>
                <w:rFonts w:cs="Arial"/>
                <w:sz w:val="22"/>
              </w:rPr>
              <w:t>&lt;0.001</w:t>
            </w:r>
            <w:r w:rsidR="00C407FF">
              <w:rPr>
                <w:rFonts w:cs="Arial"/>
                <w:sz w:val="22"/>
              </w:rPr>
              <w:t>**</w:t>
            </w:r>
          </w:p>
        </w:tc>
        <w:tc>
          <w:tcPr>
            <w:tcW w:w="852" w:type="dxa"/>
            <w:vAlign w:val="center"/>
          </w:tcPr>
          <w:p w14:paraId="43559770" w14:textId="6B428A72" w:rsidR="008F06DB" w:rsidRPr="00852CAC" w:rsidRDefault="00DF1566" w:rsidP="000E210B">
            <w:pPr>
              <w:spacing w:before="0" w:line="240" w:lineRule="auto"/>
              <w:jc w:val="center"/>
              <w:rPr>
                <w:rFonts w:cs="Arial"/>
                <w:color w:val="000000"/>
                <w:sz w:val="22"/>
                <w:lang w:eastAsia="zh-CN"/>
              </w:rPr>
            </w:pPr>
            <w:r w:rsidRPr="002D5612">
              <w:rPr>
                <w:rFonts w:cs="Arial"/>
                <w:i/>
                <w:iCs/>
                <w:sz w:val="22"/>
              </w:rPr>
              <w:t>r</w:t>
            </w:r>
            <w:r>
              <w:rPr>
                <w:rFonts w:cs="Arial"/>
                <w:sz w:val="22"/>
              </w:rPr>
              <w:t xml:space="preserve"> = </w:t>
            </w:r>
            <w:r w:rsidR="008F06DB" w:rsidRPr="00852CAC">
              <w:rPr>
                <w:rFonts w:cs="Arial"/>
                <w:color w:val="000000"/>
                <w:sz w:val="22"/>
              </w:rPr>
              <w:t>0.5</w:t>
            </w:r>
            <w:r>
              <w:rPr>
                <w:rFonts w:cs="Arial"/>
                <w:color w:val="000000"/>
                <w:sz w:val="22"/>
              </w:rPr>
              <w:t>5</w:t>
            </w:r>
          </w:p>
        </w:tc>
        <w:tc>
          <w:tcPr>
            <w:tcW w:w="1134" w:type="dxa"/>
            <w:vAlign w:val="center"/>
          </w:tcPr>
          <w:p w14:paraId="256C8864" w14:textId="77777777" w:rsidR="008F06DB" w:rsidRDefault="008F06DB" w:rsidP="000E210B">
            <w:pPr>
              <w:spacing w:before="0"/>
              <w:jc w:val="center"/>
              <w:rPr>
                <w:rFonts w:cs="Arial"/>
                <w:sz w:val="22"/>
              </w:rPr>
            </w:pPr>
            <w:r w:rsidRPr="00852CAC">
              <w:rPr>
                <w:rFonts w:cs="Arial"/>
                <w:sz w:val="22"/>
              </w:rPr>
              <w:t>3</w:t>
            </w:r>
            <w:r w:rsidR="00FB00A5" w:rsidRPr="00852CAC">
              <w:rPr>
                <w:rFonts w:cs="Arial"/>
                <w:sz w:val="22"/>
              </w:rPr>
              <w:t>.11</w:t>
            </w:r>
          </w:p>
          <w:p w14:paraId="459F7B5B" w14:textId="16FF53D7" w:rsidR="007C043C" w:rsidRPr="0072748E" w:rsidRDefault="007C043C" w:rsidP="000E210B">
            <w:pPr>
              <w:spacing w:before="0"/>
              <w:jc w:val="center"/>
              <w:rPr>
                <w:rFonts w:cs="Arial"/>
                <w:i/>
                <w:iCs/>
                <w:sz w:val="22"/>
              </w:rPr>
            </w:pPr>
            <w:r w:rsidRPr="0072748E">
              <w:rPr>
                <w:rFonts w:cs="Arial"/>
                <w:i/>
                <w:iCs/>
                <w:sz w:val="22"/>
              </w:rPr>
              <w:t>(0.8)</w:t>
            </w:r>
          </w:p>
        </w:tc>
        <w:tc>
          <w:tcPr>
            <w:tcW w:w="1134" w:type="dxa"/>
            <w:vAlign w:val="center"/>
          </w:tcPr>
          <w:p w14:paraId="246B6965" w14:textId="77777777" w:rsidR="008F06DB" w:rsidRDefault="008F06DB" w:rsidP="000E210B">
            <w:pPr>
              <w:spacing w:before="0"/>
              <w:jc w:val="center"/>
              <w:rPr>
                <w:rFonts w:cs="Arial"/>
                <w:sz w:val="22"/>
              </w:rPr>
            </w:pPr>
            <w:r w:rsidRPr="00852CAC">
              <w:rPr>
                <w:rFonts w:cs="Arial"/>
                <w:sz w:val="22"/>
              </w:rPr>
              <w:t>3.</w:t>
            </w:r>
            <w:r w:rsidR="00FB00A5" w:rsidRPr="00852CAC">
              <w:rPr>
                <w:rFonts w:cs="Arial"/>
                <w:sz w:val="22"/>
              </w:rPr>
              <w:t>22</w:t>
            </w:r>
          </w:p>
          <w:p w14:paraId="64FEC94B" w14:textId="6BA9D6BE" w:rsidR="007C043C" w:rsidRPr="0072748E" w:rsidRDefault="007C043C" w:rsidP="000E210B">
            <w:pPr>
              <w:spacing w:before="0"/>
              <w:jc w:val="center"/>
              <w:rPr>
                <w:rFonts w:cs="Arial"/>
                <w:i/>
                <w:iCs/>
                <w:sz w:val="22"/>
              </w:rPr>
            </w:pPr>
            <w:r w:rsidRPr="0072748E">
              <w:rPr>
                <w:rFonts w:cs="Arial"/>
                <w:i/>
                <w:iCs/>
                <w:sz w:val="22"/>
              </w:rPr>
              <w:t>(0.8)</w:t>
            </w:r>
          </w:p>
        </w:tc>
        <w:tc>
          <w:tcPr>
            <w:tcW w:w="1702" w:type="dxa"/>
            <w:vAlign w:val="center"/>
          </w:tcPr>
          <w:p w14:paraId="07AD521E" w14:textId="5D710CCA" w:rsidR="0063484A" w:rsidRPr="00852CAC" w:rsidRDefault="00F118B0" w:rsidP="000E210B">
            <w:pPr>
              <w:spacing w:before="0"/>
              <w:jc w:val="center"/>
              <w:rPr>
                <w:rFonts w:cs="Arial"/>
                <w:sz w:val="22"/>
              </w:rPr>
            </w:pPr>
            <w:r w:rsidRPr="00852CAC">
              <w:rPr>
                <w:rFonts w:cs="Arial"/>
                <w:sz w:val="22"/>
              </w:rPr>
              <w:t>z = -</w:t>
            </w:r>
            <w:r w:rsidR="0063484A" w:rsidRPr="00852CAC">
              <w:rPr>
                <w:rFonts w:cs="Arial"/>
                <w:sz w:val="22"/>
              </w:rPr>
              <w:t>0.59</w:t>
            </w:r>
          </w:p>
          <w:p w14:paraId="124C1978" w14:textId="7A27834F" w:rsidR="008F06DB" w:rsidRPr="00852CAC" w:rsidRDefault="0063484A" w:rsidP="000E210B">
            <w:pPr>
              <w:spacing w:before="0"/>
              <w:jc w:val="center"/>
              <w:rPr>
                <w:rFonts w:cs="Arial"/>
                <w:sz w:val="22"/>
              </w:rPr>
            </w:pPr>
            <w:r w:rsidRPr="00184165">
              <w:rPr>
                <w:rFonts w:cs="Arial"/>
                <w:i/>
                <w:iCs/>
                <w:sz w:val="22"/>
              </w:rPr>
              <w:t>p</w:t>
            </w:r>
            <w:r w:rsidRPr="00852CAC">
              <w:rPr>
                <w:rFonts w:cs="Arial"/>
                <w:sz w:val="22"/>
              </w:rPr>
              <w:t>=</w:t>
            </w:r>
            <w:r w:rsidR="0038419C" w:rsidRPr="00852CAC">
              <w:rPr>
                <w:rFonts w:cs="Arial"/>
                <w:sz w:val="22"/>
              </w:rPr>
              <w:t>0.5</w:t>
            </w:r>
            <w:r w:rsidR="0062203B">
              <w:rPr>
                <w:rFonts w:cs="Arial"/>
                <w:sz w:val="22"/>
              </w:rPr>
              <w:t>6</w:t>
            </w:r>
          </w:p>
        </w:tc>
        <w:tc>
          <w:tcPr>
            <w:tcW w:w="853" w:type="dxa"/>
            <w:vAlign w:val="center"/>
          </w:tcPr>
          <w:p w14:paraId="3A6AADF7" w14:textId="5A28485B" w:rsidR="008F06DB" w:rsidRPr="00852CAC" w:rsidRDefault="00EA049A" w:rsidP="000E210B">
            <w:pPr>
              <w:spacing w:before="0" w:line="240" w:lineRule="auto"/>
              <w:jc w:val="center"/>
              <w:rPr>
                <w:rFonts w:cs="Arial"/>
                <w:color w:val="000000"/>
                <w:sz w:val="22"/>
                <w:lang w:eastAsia="zh-CN"/>
              </w:rPr>
            </w:pPr>
            <w:r w:rsidRPr="002D5612">
              <w:rPr>
                <w:rFonts w:cs="Arial"/>
                <w:i/>
                <w:iCs/>
                <w:sz w:val="22"/>
              </w:rPr>
              <w:t>r</w:t>
            </w:r>
            <w:r>
              <w:rPr>
                <w:rFonts w:cs="Arial"/>
                <w:sz w:val="22"/>
              </w:rPr>
              <w:t xml:space="preserve"> = </w:t>
            </w:r>
            <w:r w:rsidR="008F06DB" w:rsidRPr="00852CAC">
              <w:rPr>
                <w:rFonts w:cs="Arial"/>
                <w:color w:val="000000"/>
                <w:sz w:val="22"/>
              </w:rPr>
              <w:t>0.08</w:t>
            </w:r>
          </w:p>
          <w:p w14:paraId="0C79C80B" w14:textId="77777777" w:rsidR="008F06DB" w:rsidRPr="00852CAC" w:rsidRDefault="008F06DB" w:rsidP="000E210B">
            <w:pPr>
              <w:spacing w:before="0"/>
              <w:jc w:val="center"/>
              <w:rPr>
                <w:rFonts w:cs="Arial"/>
                <w:sz w:val="22"/>
              </w:rPr>
            </w:pPr>
          </w:p>
        </w:tc>
        <w:tc>
          <w:tcPr>
            <w:tcW w:w="1134" w:type="dxa"/>
            <w:vAlign w:val="center"/>
          </w:tcPr>
          <w:p w14:paraId="2F46B145" w14:textId="77777777" w:rsidR="008F06DB" w:rsidRDefault="00557898" w:rsidP="000E210B">
            <w:pPr>
              <w:spacing w:before="0"/>
              <w:jc w:val="center"/>
              <w:rPr>
                <w:rFonts w:cs="Arial"/>
                <w:sz w:val="22"/>
              </w:rPr>
            </w:pPr>
            <w:r w:rsidRPr="00852CAC">
              <w:rPr>
                <w:rFonts w:cs="Arial"/>
                <w:sz w:val="22"/>
              </w:rPr>
              <w:t>3</w:t>
            </w:r>
          </w:p>
          <w:p w14:paraId="36FC115C" w14:textId="6D4001BF" w:rsidR="00411D97" w:rsidRPr="0072748E" w:rsidRDefault="00411D97" w:rsidP="000E210B">
            <w:pPr>
              <w:spacing w:before="0"/>
              <w:jc w:val="center"/>
              <w:rPr>
                <w:rFonts w:cs="Arial"/>
                <w:i/>
                <w:iCs/>
                <w:sz w:val="22"/>
              </w:rPr>
            </w:pPr>
            <w:r w:rsidRPr="0072748E">
              <w:rPr>
                <w:rFonts w:cs="Arial"/>
                <w:i/>
                <w:iCs/>
                <w:sz w:val="22"/>
              </w:rPr>
              <w:t>(</w:t>
            </w:r>
            <w:r w:rsidR="008B2B34" w:rsidRPr="0072748E">
              <w:rPr>
                <w:rFonts w:cs="Arial"/>
                <w:i/>
                <w:iCs/>
                <w:sz w:val="22"/>
              </w:rPr>
              <w:t>0.59)</w:t>
            </w:r>
          </w:p>
        </w:tc>
        <w:tc>
          <w:tcPr>
            <w:tcW w:w="1134" w:type="dxa"/>
            <w:vAlign w:val="center"/>
          </w:tcPr>
          <w:p w14:paraId="6D026839" w14:textId="77777777" w:rsidR="008F06DB" w:rsidRDefault="00557898" w:rsidP="000E210B">
            <w:pPr>
              <w:spacing w:before="0"/>
              <w:jc w:val="center"/>
              <w:rPr>
                <w:rFonts w:cs="Arial"/>
                <w:sz w:val="22"/>
              </w:rPr>
            </w:pPr>
            <w:r w:rsidRPr="00852CAC">
              <w:rPr>
                <w:rFonts w:cs="Arial"/>
                <w:sz w:val="22"/>
              </w:rPr>
              <w:t>3.17</w:t>
            </w:r>
          </w:p>
          <w:p w14:paraId="74387B9C" w14:textId="70E7EB0F" w:rsidR="008B2B34" w:rsidRPr="0072748E" w:rsidRDefault="008B2B34" w:rsidP="000E210B">
            <w:pPr>
              <w:spacing w:before="0"/>
              <w:jc w:val="center"/>
              <w:rPr>
                <w:rFonts w:cs="Arial"/>
                <w:i/>
                <w:iCs/>
                <w:sz w:val="22"/>
              </w:rPr>
            </w:pPr>
            <w:r w:rsidRPr="0072748E">
              <w:rPr>
                <w:rFonts w:cs="Arial"/>
                <w:i/>
                <w:iCs/>
                <w:sz w:val="22"/>
              </w:rPr>
              <w:t>(0.86)</w:t>
            </w:r>
          </w:p>
        </w:tc>
        <w:tc>
          <w:tcPr>
            <w:tcW w:w="1702" w:type="dxa"/>
            <w:vAlign w:val="center"/>
          </w:tcPr>
          <w:p w14:paraId="773983E0" w14:textId="21C2DB6A" w:rsidR="00C43209" w:rsidRPr="00852CAC" w:rsidRDefault="00DA5AED" w:rsidP="000E210B">
            <w:pPr>
              <w:spacing w:before="0"/>
              <w:jc w:val="center"/>
              <w:rPr>
                <w:rFonts w:cs="Arial"/>
                <w:sz w:val="22"/>
              </w:rPr>
            </w:pPr>
            <w:r w:rsidRPr="00852CAC">
              <w:rPr>
                <w:rFonts w:cs="Arial"/>
                <w:sz w:val="22"/>
              </w:rPr>
              <w:t>z = -</w:t>
            </w:r>
            <w:r w:rsidR="00C43209" w:rsidRPr="00852CAC">
              <w:rPr>
                <w:rFonts w:cs="Arial"/>
                <w:sz w:val="22"/>
              </w:rPr>
              <w:t>0.6</w:t>
            </w:r>
            <w:r w:rsidR="00533407">
              <w:rPr>
                <w:rFonts w:cs="Arial"/>
                <w:sz w:val="22"/>
              </w:rPr>
              <w:t>6</w:t>
            </w:r>
          </w:p>
          <w:p w14:paraId="7F32B535" w14:textId="4B6824E9" w:rsidR="008F06DB" w:rsidRPr="00852CAC" w:rsidRDefault="00C43209" w:rsidP="000E210B">
            <w:pPr>
              <w:spacing w:before="0"/>
              <w:jc w:val="center"/>
              <w:rPr>
                <w:rFonts w:cs="Arial"/>
                <w:sz w:val="22"/>
              </w:rPr>
            </w:pPr>
            <w:r w:rsidRPr="00852CAC">
              <w:rPr>
                <w:rFonts w:cs="Arial"/>
                <w:sz w:val="22"/>
              </w:rPr>
              <w:t>p=</w:t>
            </w:r>
            <w:r w:rsidR="008F06DB" w:rsidRPr="00852CAC">
              <w:rPr>
                <w:rFonts w:cs="Arial"/>
                <w:sz w:val="22"/>
              </w:rPr>
              <w:t>0.51</w:t>
            </w:r>
          </w:p>
        </w:tc>
        <w:tc>
          <w:tcPr>
            <w:tcW w:w="880" w:type="dxa"/>
            <w:vAlign w:val="center"/>
          </w:tcPr>
          <w:p w14:paraId="575EBAB2" w14:textId="51E76EAB" w:rsidR="008F06DB" w:rsidRPr="00852CAC" w:rsidRDefault="002D5612" w:rsidP="000E210B">
            <w:pPr>
              <w:spacing w:before="0"/>
              <w:jc w:val="center"/>
              <w:rPr>
                <w:rFonts w:cs="Arial"/>
                <w:sz w:val="22"/>
              </w:rPr>
            </w:pPr>
            <w:r w:rsidRPr="002D5612">
              <w:rPr>
                <w:rFonts w:cs="Arial"/>
                <w:i/>
                <w:iCs/>
                <w:sz w:val="22"/>
              </w:rPr>
              <w:t>r</w:t>
            </w:r>
            <w:r>
              <w:rPr>
                <w:rFonts w:cs="Arial"/>
                <w:sz w:val="22"/>
              </w:rPr>
              <w:t xml:space="preserve"> = </w:t>
            </w:r>
            <w:r w:rsidR="00F82E3D" w:rsidRPr="00852CAC">
              <w:rPr>
                <w:rFonts w:cs="Arial"/>
                <w:sz w:val="22"/>
              </w:rPr>
              <w:t>0.1</w:t>
            </w:r>
            <w:r>
              <w:rPr>
                <w:rFonts w:cs="Arial"/>
                <w:sz w:val="22"/>
              </w:rPr>
              <w:t>1</w:t>
            </w:r>
          </w:p>
        </w:tc>
      </w:tr>
      <w:tr w:rsidR="00C00C58" w14:paraId="4B96E4E8" w14:textId="77777777" w:rsidTr="006E61E7">
        <w:trPr>
          <w:trHeight w:val="821"/>
          <w:jc w:val="center"/>
        </w:trPr>
        <w:tc>
          <w:tcPr>
            <w:tcW w:w="1586" w:type="dxa"/>
            <w:shd w:val="clear" w:color="auto" w:fill="E0E0E1" w:themeFill="background2"/>
            <w:vAlign w:val="center"/>
          </w:tcPr>
          <w:p w14:paraId="297E6B95" w14:textId="3CA80C25" w:rsidR="008F06DB" w:rsidRPr="00637B2F" w:rsidRDefault="008F06DB" w:rsidP="000E210B">
            <w:pPr>
              <w:spacing w:before="0"/>
              <w:rPr>
                <w:rFonts w:cs="Arial"/>
                <w:b/>
                <w:bCs/>
                <w:szCs w:val="24"/>
              </w:rPr>
            </w:pPr>
            <w:r w:rsidRPr="00637B2F">
              <w:rPr>
                <w:rFonts w:cs="Arial"/>
                <w:b/>
                <w:bCs/>
                <w:szCs w:val="24"/>
              </w:rPr>
              <w:t>Concerns</w:t>
            </w:r>
          </w:p>
        </w:tc>
        <w:tc>
          <w:tcPr>
            <w:tcW w:w="1155" w:type="dxa"/>
            <w:vAlign w:val="center"/>
          </w:tcPr>
          <w:p w14:paraId="005E0F5B" w14:textId="77777777" w:rsidR="008F06DB" w:rsidRDefault="008F06DB" w:rsidP="000E210B">
            <w:pPr>
              <w:spacing w:before="0"/>
              <w:jc w:val="center"/>
              <w:rPr>
                <w:rFonts w:cs="Arial"/>
                <w:sz w:val="22"/>
              </w:rPr>
            </w:pPr>
            <w:r w:rsidRPr="00852CAC">
              <w:rPr>
                <w:rFonts w:cs="Arial"/>
                <w:sz w:val="22"/>
              </w:rPr>
              <w:t>3.35</w:t>
            </w:r>
          </w:p>
          <w:p w14:paraId="71F20014" w14:textId="1D5C83C0" w:rsidR="000835E2" w:rsidRPr="0072748E" w:rsidRDefault="000835E2" w:rsidP="000E210B">
            <w:pPr>
              <w:spacing w:before="0"/>
              <w:jc w:val="center"/>
              <w:rPr>
                <w:rFonts w:cs="Arial"/>
                <w:i/>
                <w:iCs/>
                <w:sz w:val="22"/>
              </w:rPr>
            </w:pPr>
            <w:r w:rsidRPr="0072748E">
              <w:rPr>
                <w:rFonts w:cs="Arial"/>
                <w:i/>
                <w:iCs/>
                <w:sz w:val="22"/>
              </w:rPr>
              <w:t>(0.99)</w:t>
            </w:r>
          </w:p>
        </w:tc>
        <w:tc>
          <w:tcPr>
            <w:tcW w:w="1155" w:type="dxa"/>
            <w:vAlign w:val="center"/>
          </w:tcPr>
          <w:p w14:paraId="3B75D036" w14:textId="77777777" w:rsidR="008F06DB" w:rsidRDefault="008F06DB" w:rsidP="000E210B">
            <w:pPr>
              <w:spacing w:before="0"/>
              <w:jc w:val="center"/>
              <w:rPr>
                <w:rFonts w:cs="Arial"/>
                <w:sz w:val="22"/>
              </w:rPr>
            </w:pPr>
            <w:r w:rsidRPr="00852CAC">
              <w:rPr>
                <w:rFonts w:cs="Arial"/>
                <w:sz w:val="22"/>
              </w:rPr>
              <w:t>2.88</w:t>
            </w:r>
          </w:p>
          <w:p w14:paraId="1BA49B88" w14:textId="17F07A17" w:rsidR="000835E2" w:rsidRPr="0072748E" w:rsidRDefault="000835E2" w:rsidP="000E210B">
            <w:pPr>
              <w:spacing w:before="0"/>
              <w:jc w:val="center"/>
              <w:rPr>
                <w:rFonts w:cs="Arial"/>
                <w:i/>
                <w:iCs/>
                <w:sz w:val="22"/>
              </w:rPr>
            </w:pPr>
            <w:r w:rsidRPr="0072748E">
              <w:rPr>
                <w:rFonts w:cs="Arial"/>
                <w:i/>
                <w:iCs/>
                <w:sz w:val="22"/>
              </w:rPr>
              <w:t>(0.95)</w:t>
            </w:r>
          </w:p>
        </w:tc>
        <w:tc>
          <w:tcPr>
            <w:tcW w:w="1626" w:type="dxa"/>
            <w:vAlign w:val="center"/>
          </w:tcPr>
          <w:p w14:paraId="2FC1F6BE" w14:textId="3C30DBF1" w:rsidR="00277888" w:rsidRPr="00852CAC" w:rsidRDefault="00611FFA" w:rsidP="000E210B">
            <w:pPr>
              <w:spacing w:before="0"/>
              <w:jc w:val="center"/>
              <w:rPr>
                <w:rFonts w:cs="Arial"/>
                <w:sz w:val="22"/>
              </w:rPr>
            </w:pPr>
            <w:r w:rsidRPr="00852CAC">
              <w:rPr>
                <w:rFonts w:cs="Arial"/>
                <w:sz w:val="22"/>
              </w:rPr>
              <w:t>z = -</w:t>
            </w:r>
            <w:r w:rsidR="00277888" w:rsidRPr="00852CAC">
              <w:rPr>
                <w:rFonts w:cs="Arial"/>
                <w:sz w:val="22"/>
              </w:rPr>
              <w:t>2.</w:t>
            </w:r>
            <w:r w:rsidR="005E2768">
              <w:rPr>
                <w:rFonts w:cs="Arial"/>
                <w:sz w:val="22"/>
              </w:rPr>
              <w:t>60</w:t>
            </w:r>
          </w:p>
          <w:p w14:paraId="6BF9EE02" w14:textId="54650110" w:rsidR="008F06DB" w:rsidRPr="00852CAC" w:rsidRDefault="00277888" w:rsidP="000E210B">
            <w:pPr>
              <w:spacing w:before="0"/>
              <w:jc w:val="center"/>
              <w:rPr>
                <w:rFonts w:cs="Arial"/>
                <w:sz w:val="22"/>
              </w:rPr>
            </w:pPr>
            <w:r w:rsidRPr="00265A19">
              <w:rPr>
                <w:rFonts w:cs="Arial"/>
                <w:i/>
                <w:iCs/>
                <w:sz w:val="22"/>
              </w:rPr>
              <w:t>p</w:t>
            </w:r>
            <w:r w:rsidRPr="00852CAC">
              <w:rPr>
                <w:rFonts w:cs="Arial"/>
                <w:sz w:val="22"/>
              </w:rPr>
              <w:t>=</w:t>
            </w:r>
            <w:r w:rsidR="008F06DB" w:rsidRPr="00852CAC">
              <w:rPr>
                <w:rFonts w:cs="Arial"/>
                <w:sz w:val="22"/>
              </w:rPr>
              <w:t>0.10</w:t>
            </w:r>
          </w:p>
        </w:tc>
        <w:tc>
          <w:tcPr>
            <w:tcW w:w="852" w:type="dxa"/>
            <w:vAlign w:val="center"/>
          </w:tcPr>
          <w:p w14:paraId="6E2CAE8C" w14:textId="37621064" w:rsidR="008F06DB" w:rsidRPr="00852CAC" w:rsidRDefault="00DF1566" w:rsidP="000E210B">
            <w:pPr>
              <w:spacing w:before="0" w:line="240" w:lineRule="auto"/>
              <w:jc w:val="center"/>
              <w:rPr>
                <w:rFonts w:cs="Arial"/>
                <w:color w:val="000000"/>
                <w:sz w:val="22"/>
                <w:lang w:eastAsia="zh-CN"/>
              </w:rPr>
            </w:pPr>
            <w:r w:rsidRPr="002D5612">
              <w:rPr>
                <w:rFonts w:cs="Arial"/>
                <w:i/>
                <w:iCs/>
                <w:sz w:val="22"/>
              </w:rPr>
              <w:t>r</w:t>
            </w:r>
            <w:r>
              <w:rPr>
                <w:rFonts w:cs="Arial"/>
                <w:sz w:val="22"/>
              </w:rPr>
              <w:t xml:space="preserve"> = </w:t>
            </w:r>
            <w:r w:rsidR="008F06DB" w:rsidRPr="00852CAC">
              <w:rPr>
                <w:rFonts w:cs="Arial"/>
                <w:color w:val="000000"/>
                <w:sz w:val="22"/>
              </w:rPr>
              <w:t>0.37</w:t>
            </w:r>
          </w:p>
        </w:tc>
        <w:tc>
          <w:tcPr>
            <w:tcW w:w="1134" w:type="dxa"/>
            <w:vAlign w:val="center"/>
          </w:tcPr>
          <w:p w14:paraId="34DE3021" w14:textId="77777777" w:rsidR="008F06DB" w:rsidRDefault="008F06DB" w:rsidP="000E210B">
            <w:pPr>
              <w:spacing w:before="0"/>
              <w:jc w:val="center"/>
              <w:rPr>
                <w:rFonts w:cs="Arial"/>
                <w:sz w:val="22"/>
              </w:rPr>
            </w:pPr>
            <w:r w:rsidRPr="00852CAC">
              <w:rPr>
                <w:rFonts w:cs="Arial"/>
                <w:sz w:val="22"/>
              </w:rPr>
              <w:t>3.4</w:t>
            </w:r>
            <w:r w:rsidR="00AA4B2C" w:rsidRPr="00852CAC">
              <w:rPr>
                <w:rFonts w:cs="Arial"/>
                <w:sz w:val="22"/>
              </w:rPr>
              <w:t>8</w:t>
            </w:r>
          </w:p>
          <w:p w14:paraId="43311962" w14:textId="05538A1E" w:rsidR="007C043C" w:rsidRPr="0072748E" w:rsidRDefault="007C043C" w:rsidP="000E210B">
            <w:pPr>
              <w:spacing w:before="0"/>
              <w:jc w:val="center"/>
              <w:rPr>
                <w:rFonts w:cs="Arial"/>
                <w:i/>
                <w:iCs/>
                <w:sz w:val="22"/>
              </w:rPr>
            </w:pPr>
            <w:r w:rsidRPr="0072748E">
              <w:rPr>
                <w:rFonts w:cs="Arial"/>
                <w:i/>
                <w:iCs/>
                <w:sz w:val="22"/>
              </w:rPr>
              <w:t>(1.01)</w:t>
            </w:r>
          </w:p>
        </w:tc>
        <w:tc>
          <w:tcPr>
            <w:tcW w:w="1134" w:type="dxa"/>
            <w:vAlign w:val="center"/>
          </w:tcPr>
          <w:p w14:paraId="4D7C6CDA" w14:textId="77777777" w:rsidR="008F06DB" w:rsidRDefault="008F06DB" w:rsidP="000E210B">
            <w:pPr>
              <w:spacing w:before="0"/>
              <w:jc w:val="center"/>
              <w:rPr>
                <w:rFonts w:cs="Arial"/>
                <w:sz w:val="22"/>
              </w:rPr>
            </w:pPr>
            <w:r w:rsidRPr="00852CAC">
              <w:rPr>
                <w:rFonts w:cs="Arial"/>
                <w:sz w:val="22"/>
              </w:rPr>
              <w:t>3.</w:t>
            </w:r>
            <w:r w:rsidR="00AA4B2C" w:rsidRPr="00852CAC">
              <w:rPr>
                <w:rFonts w:cs="Arial"/>
                <w:sz w:val="22"/>
              </w:rPr>
              <w:t>19</w:t>
            </w:r>
          </w:p>
          <w:p w14:paraId="744AC857" w14:textId="6A6A6DDA" w:rsidR="007C043C" w:rsidRPr="0072748E" w:rsidRDefault="007C043C" w:rsidP="000E210B">
            <w:pPr>
              <w:spacing w:before="0"/>
              <w:jc w:val="center"/>
              <w:rPr>
                <w:rFonts w:cs="Arial"/>
                <w:i/>
                <w:iCs/>
                <w:sz w:val="22"/>
              </w:rPr>
            </w:pPr>
            <w:r w:rsidRPr="0072748E">
              <w:rPr>
                <w:rFonts w:cs="Arial"/>
                <w:i/>
                <w:iCs/>
                <w:sz w:val="22"/>
              </w:rPr>
              <w:t>(1</w:t>
            </w:r>
            <w:r w:rsidR="00950EEF">
              <w:rPr>
                <w:rFonts w:cs="Arial"/>
                <w:i/>
                <w:iCs/>
                <w:sz w:val="22"/>
              </w:rPr>
              <w:t>.00</w:t>
            </w:r>
            <w:r w:rsidRPr="0072748E">
              <w:rPr>
                <w:rFonts w:cs="Arial"/>
                <w:i/>
                <w:iCs/>
                <w:sz w:val="22"/>
              </w:rPr>
              <w:t>)</w:t>
            </w:r>
          </w:p>
        </w:tc>
        <w:tc>
          <w:tcPr>
            <w:tcW w:w="1702" w:type="dxa"/>
            <w:vAlign w:val="center"/>
          </w:tcPr>
          <w:p w14:paraId="300E1016" w14:textId="4084EAFA" w:rsidR="00DA5AED" w:rsidRPr="00852CAC" w:rsidRDefault="00F118B0" w:rsidP="000E210B">
            <w:pPr>
              <w:spacing w:before="0"/>
              <w:jc w:val="center"/>
              <w:rPr>
                <w:rFonts w:cs="Arial"/>
                <w:sz w:val="22"/>
              </w:rPr>
            </w:pPr>
            <w:r w:rsidRPr="00852CAC">
              <w:rPr>
                <w:rFonts w:cs="Arial"/>
                <w:sz w:val="22"/>
              </w:rPr>
              <w:t>z = -</w:t>
            </w:r>
            <w:r w:rsidR="00DA5AED" w:rsidRPr="00852CAC">
              <w:rPr>
                <w:rFonts w:cs="Arial"/>
                <w:sz w:val="22"/>
              </w:rPr>
              <w:t>1.37</w:t>
            </w:r>
          </w:p>
          <w:p w14:paraId="4DA7AD6D" w14:textId="52B58D21" w:rsidR="008F06DB" w:rsidRPr="00852CAC" w:rsidRDefault="00DA5AED" w:rsidP="000E210B">
            <w:pPr>
              <w:spacing w:before="0"/>
              <w:jc w:val="center"/>
              <w:rPr>
                <w:rFonts w:cs="Arial"/>
                <w:sz w:val="22"/>
              </w:rPr>
            </w:pPr>
            <w:r w:rsidRPr="00184165">
              <w:rPr>
                <w:rFonts w:cs="Arial"/>
                <w:i/>
                <w:iCs/>
                <w:sz w:val="22"/>
              </w:rPr>
              <w:t>p</w:t>
            </w:r>
            <w:r w:rsidRPr="00852CAC">
              <w:rPr>
                <w:rFonts w:cs="Arial"/>
                <w:sz w:val="22"/>
              </w:rPr>
              <w:t>=</w:t>
            </w:r>
            <w:r w:rsidR="0038419C" w:rsidRPr="00852CAC">
              <w:rPr>
                <w:rFonts w:cs="Arial"/>
                <w:sz w:val="22"/>
              </w:rPr>
              <w:t>0.17</w:t>
            </w:r>
          </w:p>
        </w:tc>
        <w:tc>
          <w:tcPr>
            <w:tcW w:w="853" w:type="dxa"/>
            <w:vAlign w:val="center"/>
          </w:tcPr>
          <w:p w14:paraId="34B50CDC" w14:textId="566CBFB9" w:rsidR="008F06DB" w:rsidRPr="00852CAC" w:rsidRDefault="00EA049A" w:rsidP="000E210B">
            <w:pPr>
              <w:spacing w:before="0" w:line="240" w:lineRule="auto"/>
              <w:jc w:val="center"/>
              <w:rPr>
                <w:rFonts w:cs="Arial"/>
                <w:color w:val="000000"/>
                <w:sz w:val="22"/>
                <w:lang w:eastAsia="zh-CN"/>
              </w:rPr>
            </w:pPr>
            <w:r w:rsidRPr="002D5612">
              <w:rPr>
                <w:rFonts w:cs="Arial"/>
                <w:i/>
                <w:iCs/>
                <w:sz w:val="22"/>
              </w:rPr>
              <w:t>r</w:t>
            </w:r>
            <w:r>
              <w:rPr>
                <w:rFonts w:cs="Arial"/>
                <w:sz w:val="22"/>
              </w:rPr>
              <w:t xml:space="preserve"> = </w:t>
            </w:r>
            <w:r w:rsidR="008F06DB" w:rsidRPr="00852CAC">
              <w:rPr>
                <w:rFonts w:cs="Arial"/>
                <w:color w:val="000000"/>
                <w:sz w:val="22"/>
              </w:rPr>
              <w:t>0.1</w:t>
            </w:r>
            <w:r>
              <w:rPr>
                <w:rFonts w:cs="Arial"/>
                <w:color w:val="000000"/>
                <w:sz w:val="22"/>
              </w:rPr>
              <w:t>9</w:t>
            </w:r>
          </w:p>
        </w:tc>
        <w:tc>
          <w:tcPr>
            <w:tcW w:w="1134" w:type="dxa"/>
            <w:vAlign w:val="center"/>
          </w:tcPr>
          <w:p w14:paraId="621132EB" w14:textId="77777777" w:rsidR="008F06DB" w:rsidRDefault="00557898" w:rsidP="000E210B">
            <w:pPr>
              <w:spacing w:before="0"/>
              <w:jc w:val="center"/>
              <w:rPr>
                <w:rFonts w:cs="Arial"/>
                <w:sz w:val="22"/>
              </w:rPr>
            </w:pPr>
            <w:r w:rsidRPr="00852CAC">
              <w:rPr>
                <w:rFonts w:cs="Arial"/>
                <w:sz w:val="22"/>
              </w:rPr>
              <w:t>3.44</w:t>
            </w:r>
          </w:p>
          <w:p w14:paraId="20BB1ABB" w14:textId="10053770" w:rsidR="008B2B34" w:rsidRPr="0072748E" w:rsidRDefault="008B2B34" w:rsidP="000E210B">
            <w:pPr>
              <w:spacing w:before="0"/>
              <w:jc w:val="center"/>
              <w:rPr>
                <w:rFonts w:cs="Arial"/>
                <w:i/>
                <w:iCs/>
                <w:sz w:val="22"/>
              </w:rPr>
            </w:pPr>
            <w:r w:rsidRPr="0072748E">
              <w:rPr>
                <w:rFonts w:cs="Arial"/>
                <w:i/>
                <w:iCs/>
                <w:sz w:val="22"/>
              </w:rPr>
              <w:t>(1.1</w:t>
            </w:r>
            <w:r w:rsidR="00950EEF">
              <w:rPr>
                <w:rFonts w:cs="Arial"/>
                <w:i/>
                <w:iCs/>
                <w:sz w:val="22"/>
              </w:rPr>
              <w:t>0</w:t>
            </w:r>
            <w:r w:rsidRPr="0072748E">
              <w:rPr>
                <w:rFonts w:cs="Arial"/>
                <w:i/>
                <w:iCs/>
                <w:sz w:val="22"/>
              </w:rPr>
              <w:t>)</w:t>
            </w:r>
          </w:p>
        </w:tc>
        <w:tc>
          <w:tcPr>
            <w:tcW w:w="1134" w:type="dxa"/>
            <w:vAlign w:val="center"/>
          </w:tcPr>
          <w:p w14:paraId="7FE6AE74" w14:textId="77777777" w:rsidR="008F06DB" w:rsidRDefault="00557898" w:rsidP="000E210B">
            <w:pPr>
              <w:spacing w:before="0"/>
              <w:jc w:val="center"/>
              <w:rPr>
                <w:rFonts w:cs="Arial"/>
                <w:sz w:val="22"/>
              </w:rPr>
            </w:pPr>
            <w:r w:rsidRPr="00852CAC">
              <w:rPr>
                <w:rFonts w:cs="Arial"/>
                <w:sz w:val="22"/>
              </w:rPr>
              <w:t>3.22</w:t>
            </w:r>
          </w:p>
          <w:p w14:paraId="078521B8" w14:textId="31370E84" w:rsidR="008B2B34" w:rsidRPr="0072748E" w:rsidRDefault="008B2B34" w:rsidP="000E210B">
            <w:pPr>
              <w:spacing w:before="0"/>
              <w:jc w:val="center"/>
              <w:rPr>
                <w:rFonts w:cs="Arial"/>
                <w:i/>
                <w:iCs/>
                <w:sz w:val="22"/>
              </w:rPr>
            </w:pPr>
            <w:r w:rsidRPr="0072748E">
              <w:rPr>
                <w:rFonts w:cs="Arial"/>
                <w:i/>
                <w:iCs/>
                <w:sz w:val="22"/>
              </w:rPr>
              <w:t>(1</w:t>
            </w:r>
            <w:r w:rsidR="00950EEF">
              <w:rPr>
                <w:rFonts w:cs="Arial"/>
                <w:i/>
                <w:iCs/>
                <w:sz w:val="22"/>
              </w:rPr>
              <w:t>.00</w:t>
            </w:r>
            <w:r w:rsidRPr="0072748E">
              <w:rPr>
                <w:rFonts w:cs="Arial"/>
                <w:i/>
                <w:iCs/>
                <w:sz w:val="22"/>
              </w:rPr>
              <w:t>)</w:t>
            </w:r>
          </w:p>
        </w:tc>
        <w:tc>
          <w:tcPr>
            <w:tcW w:w="1702" w:type="dxa"/>
            <w:vAlign w:val="center"/>
          </w:tcPr>
          <w:p w14:paraId="67595994" w14:textId="4F2F32B1" w:rsidR="00C43209" w:rsidRPr="00852CAC" w:rsidRDefault="00DA5AED" w:rsidP="000E210B">
            <w:pPr>
              <w:spacing w:before="0"/>
              <w:jc w:val="center"/>
              <w:rPr>
                <w:rFonts w:cs="Arial"/>
                <w:sz w:val="22"/>
              </w:rPr>
            </w:pPr>
            <w:r w:rsidRPr="00852CAC">
              <w:rPr>
                <w:rFonts w:cs="Arial"/>
                <w:sz w:val="22"/>
              </w:rPr>
              <w:t>z(25) = -</w:t>
            </w:r>
            <w:r w:rsidR="00C43209" w:rsidRPr="00852CAC">
              <w:rPr>
                <w:rFonts w:cs="Arial"/>
                <w:sz w:val="22"/>
              </w:rPr>
              <w:t>1.0</w:t>
            </w:r>
            <w:r w:rsidR="00533407">
              <w:rPr>
                <w:rFonts w:cs="Arial"/>
                <w:sz w:val="22"/>
              </w:rPr>
              <w:t>3</w:t>
            </w:r>
          </w:p>
          <w:p w14:paraId="44FD445C" w14:textId="27E1BB7D" w:rsidR="008F06DB" w:rsidRPr="00852CAC" w:rsidRDefault="00C43209" w:rsidP="000E210B">
            <w:pPr>
              <w:spacing w:before="0"/>
              <w:jc w:val="center"/>
              <w:rPr>
                <w:rFonts w:cs="Arial"/>
                <w:sz w:val="22"/>
              </w:rPr>
            </w:pPr>
            <w:r w:rsidRPr="00852CAC">
              <w:rPr>
                <w:rFonts w:cs="Arial"/>
                <w:sz w:val="22"/>
              </w:rPr>
              <w:t>p=</w:t>
            </w:r>
            <w:r w:rsidR="008F06DB" w:rsidRPr="00852CAC">
              <w:rPr>
                <w:rFonts w:cs="Arial"/>
                <w:sz w:val="22"/>
              </w:rPr>
              <w:t>0.3</w:t>
            </w:r>
            <w:r w:rsidR="00950EEF">
              <w:rPr>
                <w:rFonts w:cs="Arial"/>
                <w:sz w:val="22"/>
              </w:rPr>
              <w:t>1</w:t>
            </w:r>
          </w:p>
        </w:tc>
        <w:tc>
          <w:tcPr>
            <w:tcW w:w="880" w:type="dxa"/>
            <w:vAlign w:val="center"/>
          </w:tcPr>
          <w:p w14:paraId="433461C0" w14:textId="6A15CD29" w:rsidR="008F06DB" w:rsidRPr="00852CAC" w:rsidRDefault="002D5612" w:rsidP="000E210B">
            <w:pPr>
              <w:spacing w:before="0"/>
              <w:jc w:val="center"/>
              <w:rPr>
                <w:rFonts w:cs="Arial"/>
                <w:sz w:val="22"/>
              </w:rPr>
            </w:pPr>
            <w:r w:rsidRPr="002D5612">
              <w:rPr>
                <w:rFonts w:cs="Arial"/>
                <w:i/>
                <w:iCs/>
                <w:sz w:val="22"/>
              </w:rPr>
              <w:t>r</w:t>
            </w:r>
            <w:r>
              <w:rPr>
                <w:rFonts w:cs="Arial"/>
                <w:sz w:val="22"/>
              </w:rPr>
              <w:t xml:space="preserve"> = </w:t>
            </w:r>
            <w:r w:rsidR="00F82E3D" w:rsidRPr="00852CAC">
              <w:rPr>
                <w:rFonts w:cs="Arial"/>
                <w:sz w:val="22"/>
              </w:rPr>
              <w:t>0.17</w:t>
            </w:r>
          </w:p>
        </w:tc>
      </w:tr>
    </w:tbl>
    <w:p w14:paraId="6D7F3204" w14:textId="4650A89B" w:rsidR="00334CB9" w:rsidRPr="00334CB9" w:rsidRDefault="00334CB9" w:rsidP="00334CB9">
      <w:pPr>
        <w:rPr>
          <w:sz w:val="20"/>
          <w:szCs w:val="18"/>
        </w:rPr>
        <w:sectPr w:rsidR="00334CB9" w:rsidRPr="00334CB9" w:rsidSect="00AD4141">
          <w:pgSz w:w="16840" w:h="11906" w:orient="landscape"/>
          <w:pgMar w:top="1701" w:right="1134" w:bottom="737" w:left="1134" w:header="708" w:footer="708" w:gutter="0"/>
          <w:cols w:space="708"/>
          <w:titlePg/>
          <w:docGrid w:linePitch="360"/>
        </w:sectPr>
      </w:pPr>
      <w:r w:rsidRPr="00334CB9">
        <w:rPr>
          <w:sz w:val="20"/>
          <w:szCs w:val="18"/>
        </w:rPr>
        <w:t>* = significant at 5% level. **  = significant at the 1% level.</w:t>
      </w:r>
    </w:p>
    <w:p w14:paraId="6DAE9602" w14:textId="702558C6" w:rsidR="005E2547" w:rsidRPr="008C5CAB" w:rsidRDefault="005E2547" w:rsidP="005E2547">
      <w:pPr>
        <w:rPr>
          <w:b/>
          <w:bCs/>
        </w:rPr>
      </w:pPr>
      <w:r w:rsidRPr="008C5CAB">
        <w:rPr>
          <w:b/>
          <w:bCs/>
        </w:rPr>
        <w:lastRenderedPageBreak/>
        <w:t>Knowledge</w:t>
      </w:r>
    </w:p>
    <w:p w14:paraId="74F8A204" w14:textId="48CEC9F3" w:rsidR="00DB1DEB" w:rsidRDefault="0039250F" w:rsidP="005E2547">
      <w:r>
        <w:t xml:space="preserve">In </w:t>
      </w:r>
      <w:r w:rsidR="00BE466F">
        <w:t>terms of</w:t>
      </w:r>
      <w:r w:rsidR="004965E9">
        <w:t xml:space="preserve"> </w:t>
      </w:r>
      <w:r w:rsidR="00943C0C">
        <w:t xml:space="preserve">participants’ </w:t>
      </w:r>
      <w:r w:rsidR="004965E9">
        <w:t xml:space="preserve">knowledge about </w:t>
      </w:r>
      <w:r w:rsidR="000F0926">
        <w:t xml:space="preserve">studying at </w:t>
      </w:r>
      <w:r w:rsidR="00AA3504">
        <w:t>university</w:t>
      </w:r>
      <w:r w:rsidR="000F0926">
        <w:t>,</w:t>
      </w:r>
      <w:r w:rsidR="00CF7AC4" w:rsidRPr="00CF7AC4">
        <w:t xml:space="preserve"> </w:t>
      </w:r>
      <w:r w:rsidR="00943C0C">
        <w:t xml:space="preserve">participants </w:t>
      </w:r>
      <w:r w:rsidR="00CF7AC4">
        <w:t>in all three groups saw a growth in their knowledge, as all means increase</w:t>
      </w:r>
      <w:r w:rsidR="00DE6901">
        <w:t>d</w:t>
      </w:r>
      <w:r w:rsidR="00CF7AC4">
        <w:t>.</w:t>
      </w:r>
      <w:r w:rsidR="003278A3">
        <w:t xml:space="preserve"> This was sustained across the programme, with Group 2 and Group 3 experiencing </w:t>
      </w:r>
      <w:r w:rsidR="00DB1DEB">
        <w:t>a greater increase in mean score in this area</w:t>
      </w:r>
      <w:r w:rsidR="00D37AF1">
        <w:t>, when compared to Group 1.</w:t>
      </w:r>
    </w:p>
    <w:p w14:paraId="5DBDB1C0" w14:textId="2382EED5" w:rsidR="005E2547" w:rsidRDefault="00DB1DEB" w:rsidP="005E2547">
      <w:r>
        <w:t>However,</w:t>
      </w:r>
      <w:r w:rsidR="000F0926">
        <w:t xml:space="preserve"> we can see that</w:t>
      </w:r>
      <w:r w:rsidR="00D37AF1">
        <w:t xml:space="preserve"> the</w:t>
      </w:r>
      <w:r w:rsidR="000F0926">
        <w:t xml:space="preserve"> </w:t>
      </w:r>
      <w:r>
        <w:t xml:space="preserve">impact was not </w:t>
      </w:r>
      <w:r w:rsidR="007C3610">
        <w:t>statistically</w:t>
      </w:r>
      <w:r>
        <w:t xml:space="preserve"> significant in any of the three groups</w:t>
      </w:r>
      <w:r w:rsidR="007C3610">
        <w:t xml:space="preserve"> (G1</w:t>
      </w:r>
      <w:r w:rsidR="007C3610" w:rsidRPr="007C3610">
        <w:t xml:space="preserve"> </w:t>
      </w:r>
      <w:r w:rsidR="007C3610">
        <w:t>p=.0</w:t>
      </w:r>
      <w:r w:rsidR="00DD3F5E">
        <w:t>1</w:t>
      </w:r>
      <w:r w:rsidR="007C3610">
        <w:t>, G2 p=.28, G3 p=.1</w:t>
      </w:r>
      <w:r w:rsidR="00DD3F5E">
        <w:t>3</w:t>
      </w:r>
      <w:r w:rsidR="007C3610">
        <w:t xml:space="preserve">). </w:t>
      </w:r>
      <w:r w:rsidR="00054B45">
        <w:t>In addition, the effect sizes are small,</w:t>
      </w:r>
      <w:r w:rsidR="00500481">
        <w:t xml:space="preserve"> </w:t>
      </w:r>
      <w:r w:rsidR="00054B45">
        <w:t xml:space="preserve">reducing the programme’s successes in developing </w:t>
      </w:r>
      <w:r w:rsidR="00943C0C">
        <w:t xml:space="preserve">participants’ </w:t>
      </w:r>
      <w:r w:rsidR="00054B45">
        <w:t>knowledge about university study.</w:t>
      </w:r>
    </w:p>
    <w:p w14:paraId="2F378D8B" w14:textId="77777777" w:rsidR="00E25930" w:rsidRPr="00E25930" w:rsidRDefault="00E25930" w:rsidP="005E2547"/>
    <w:p w14:paraId="5FFF016A" w14:textId="5568C45D" w:rsidR="00AD4141" w:rsidRPr="008C5CAB" w:rsidRDefault="00B61ADD" w:rsidP="2E32142D">
      <w:r w:rsidRPr="008C5CAB">
        <w:rPr>
          <w:b/>
          <w:bCs/>
        </w:rPr>
        <w:t>Belonging</w:t>
      </w:r>
    </w:p>
    <w:p w14:paraId="127AAB7D" w14:textId="6D526AD5" w:rsidR="00B61ADD" w:rsidRDefault="00557E93" w:rsidP="2E32142D">
      <w:r>
        <w:t xml:space="preserve">In assessing Access Reading’s impact on </w:t>
      </w:r>
      <w:r w:rsidR="00943C0C">
        <w:t xml:space="preserve">participants’ </w:t>
      </w:r>
      <w:r>
        <w:t>sense of belonging</w:t>
      </w:r>
      <w:r w:rsidR="00EA7D6E">
        <w:t xml:space="preserve">, the responses </w:t>
      </w:r>
      <w:r w:rsidR="00B455CC">
        <w:t xml:space="preserve">show that </w:t>
      </w:r>
      <w:r w:rsidR="00943C0C">
        <w:t xml:space="preserve">participants </w:t>
      </w:r>
      <w:r w:rsidR="00186633">
        <w:t>experienced</w:t>
      </w:r>
      <w:r w:rsidR="00B455CC">
        <w:t xml:space="preserve"> a clear and sustained improvement </w:t>
      </w:r>
      <w:r w:rsidR="00186633">
        <w:t>that was statistically significant</w:t>
      </w:r>
      <w:r w:rsidR="00253FFC">
        <w:t xml:space="preserve"> </w:t>
      </w:r>
      <w:r w:rsidR="002A4F2D">
        <w:t>in all three groups</w:t>
      </w:r>
      <w:r w:rsidR="00880E7D">
        <w:t xml:space="preserve"> (G1 p=.002, G2 P=.0</w:t>
      </w:r>
      <w:r w:rsidR="005D28B0">
        <w:t>1</w:t>
      </w:r>
      <w:r w:rsidR="00880E7D">
        <w:t>, G3 p=.02)</w:t>
      </w:r>
      <w:r w:rsidR="00186633">
        <w:t xml:space="preserve">. </w:t>
      </w:r>
      <w:r w:rsidR="00E40794">
        <w:t xml:space="preserve">In addition, the effect size in all three </w:t>
      </w:r>
      <w:r w:rsidR="007567EE">
        <w:t xml:space="preserve">groups was medium. This suggests that Access Reading was successful in developing </w:t>
      </w:r>
      <w:r w:rsidR="00FB5D26">
        <w:t>participants</w:t>
      </w:r>
      <w:r w:rsidR="00442760">
        <w:t xml:space="preserve">’ </w:t>
      </w:r>
      <w:r w:rsidR="007567EE">
        <w:t xml:space="preserve">sense of </w:t>
      </w:r>
      <w:r w:rsidR="00CA7574">
        <w:t xml:space="preserve">belonging </w:t>
      </w:r>
      <w:r w:rsidR="002F2DF2">
        <w:t xml:space="preserve">at university </w:t>
      </w:r>
      <w:r w:rsidR="00CA7574">
        <w:t>and the University of Reading.</w:t>
      </w:r>
    </w:p>
    <w:p w14:paraId="69603953" w14:textId="77777777" w:rsidR="001A2565" w:rsidRDefault="001A2565" w:rsidP="2E32142D"/>
    <w:p w14:paraId="02D71C92" w14:textId="50F001B6" w:rsidR="001A2565" w:rsidRPr="008C5CAB" w:rsidRDefault="00690AB5" w:rsidP="2E32142D">
      <w:pPr>
        <w:rPr>
          <w:b/>
          <w:bCs/>
        </w:rPr>
      </w:pPr>
      <w:r w:rsidRPr="008C5CAB">
        <w:rPr>
          <w:b/>
          <w:bCs/>
        </w:rPr>
        <w:t>Support</w:t>
      </w:r>
    </w:p>
    <w:p w14:paraId="6D3FB2F2" w14:textId="37C3ED13" w:rsidR="00E41345" w:rsidRDefault="00943C0C" w:rsidP="2E32142D">
      <w:r>
        <w:t xml:space="preserve">Participants’ </w:t>
      </w:r>
      <w:r w:rsidR="00511D7F">
        <w:t>understanding</w:t>
      </w:r>
      <w:r w:rsidR="00B86DBD">
        <w:t xml:space="preserve"> of support at university </w:t>
      </w:r>
      <w:r w:rsidR="00AB40A7">
        <w:t>consistently grew throughout the intervention</w:t>
      </w:r>
      <w:r w:rsidR="000F1071">
        <w:t xml:space="preserve">, with an increase in mean averages in all three groups. </w:t>
      </w:r>
      <w:r w:rsidR="003A3631">
        <w:t xml:space="preserve">In </w:t>
      </w:r>
      <w:r w:rsidR="00B248D6">
        <w:t xml:space="preserve">all three groups, these results were </w:t>
      </w:r>
      <w:r w:rsidR="001F4A3C">
        <w:t>statistically</w:t>
      </w:r>
      <w:r w:rsidR="00B248D6">
        <w:t xml:space="preserve"> significant (G1 p=</w:t>
      </w:r>
      <w:r w:rsidR="00737501">
        <w:t>&lt;</w:t>
      </w:r>
      <w:r w:rsidR="00B248D6">
        <w:t>0.00</w:t>
      </w:r>
      <w:r w:rsidR="00737501">
        <w:t>1</w:t>
      </w:r>
      <w:r w:rsidR="00B248D6">
        <w:t>, G2 P=0.0</w:t>
      </w:r>
      <w:r w:rsidR="0056109D">
        <w:t>1</w:t>
      </w:r>
      <w:r w:rsidR="00B248D6">
        <w:t>, G3 p=0.0</w:t>
      </w:r>
      <w:r w:rsidR="00737501">
        <w:t>0</w:t>
      </w:r>
      <w:r w:rsidR="00B248D6">
        <w:t>4).</w:t>
      </w:r>
      <w:r w:rsidR="0091615E">
        <w:t xml:space="preserve"> </w:t>
      </w:r>
    </w:p>
    <w:p w14:paraId="5A4B2162" w14:textId="5C9512FB" w:rsidR="00AD5BFB" w:rsidRDefault="0091615E" w:rsidP="2E32142D">
      <w:r>
        <w:t xml:space="preserve">Group 1 </w:t>
      </w:r>
      <w:r w:rsidR="00D8572B">
        <w:t>(0.5</w:t>
      </w:r>
      <w:r w:rsidR="0056109D">
        <w:t>5</w:t>
      </w:r>
      <w:r w:rsidR="00D8572B">
        <w:t xml:space="preserve">) and Group </w:t>
      </w:r>
      <w:r w:rsidR="005C3B0F">
        <w:t>3</w:t>
      </w:r>
      <w:r w:rsidR="00D8572B">
        <w:t xml:space="preserve"> (</w:t>
      </w:r>
      <w:r w:rsidR="00C6060A">
        <w:t xml:space="preserve">0.48) </w:t>
      </w:r>
      <w:r>
        <w:t>experienced a medium effect size</w:t>
      </w:r>
      <w:r w:rsidR="00C6060A">
        <w:t xml:space="preserve">, whereas Group </w:t>
      </w:r>
      <w:r w:rsidR="005C3B0F">
        <w:t>2</w:t>
      </w:r>
      <w:r w:rsidR="00C6060A">
        <w:t xml:space="preserve"> saw a smaller effect size (0.37)</w:t>
      </w:r>
      <w:r w:rsidR="005C3B0F">
        <w:t xml:space="preserve"> perhaps highlighting the role of the in-person event in emphasising suppor</w:t>
      </w:r>
      <w:r w:rsidR="00EA6C0B">
        <w:t>t, as Group 2 contained</w:t>
      </w:r>
      <w:r w:rsidR="008859D6">
        <w:t xml:space="preserve"> some</w:t>
      </w:r>
      <w:r w:rsidR="00EA6C0B">
        <w:t xml:space="preserve"> </w:t>
      </w:r>
      <w:r w:rsidR="00943C0C">
        <w:t xml:space="preserve">participants </w:t>
      </w:r>
      <w:r w:rsidR="00FF631D">
        <w:t>who only engaged with the online provision.</w:t>
      </w:r>
    </w:p>
    <w:p w14:paraId="7AAE05C0" w14:textId="77777777" w:rsidR="007C4120" w:rsidRPr="00690AB5" w:rsidRDefault="007C4120" w:rsidP="2E32142D"/>
    <w:p w14:paraId="6BB7AD8B" w14:textId="215E5B47" w:rsidR="00690AB5" w:rsidRPr="008C5CAB" w:rsidRDefault="00690AB5" w:rsidP="2E32142D">
      <w:pPr>
        <w:rPr>
          <w:b/>
          <w:bCs/>
        </w:rPr>
      </w:pPr>
      <w:r w:rsidRPr="008C5CAB">
        <w:rPr>
          <w:b/>
          <w:bCs/>
        </w:rPr>
        <w:t>Confidence</w:t>
      </w:r>
    </w:p>
    <w:p w14:paraId="2BDFA9CF" w14:textId="2550E2EE" w:rsidR="00690AB5" w:rsidRDefault="00943C0C" w:rsidP="2E32142D">
      <w:r>
        <w:t xml:space="preserve">Participants’ </w:t>
      </w:r>
      <w:r w:rsidR="006747AC">
        <w:t xml:space="preserve">confidence to cope with learning </w:t>
      </w:r>
      <w:r w:rsidR="0079680B">
        <w:t>in</w:t>
      </w:r>
      <w:r w:rsidR="006747AC">
        <w:t xml:space="preserve"> higher education </w:t>
      </w:r>
      <w:r w:rsidR="00B361C5">
        <w:t xml:space="preserve">grew </w:t>
      </w:r>
      <w:r w:rsidR="002738D6">
        <w:t>in Group 1, showing impact at the time of the in-person event. These results were statistically significan</w:t>
      </w:r>
      <w:r w:rsidR="00F50785">
        <w:t xml:space="preserve">t </w:t>
      </w:r>
      <w:r w:rsidR="00392DD9">
        <w:t>(</w:t>
      </w:r>
      <w:r w:rsidR="001505FF">
        <w:t xml:space="preserve">p=&lt;0.001) </w:t>
      </w:r>
      <w:r w:rsidR="00F50785">
        <w:t>and had a medium effect size</w:t>
      </w:r>
      <w:r w:rsidR="001505FF">
        <w:t xml:space="preserve"> (0.5</w:t>
      </w:r>
      <w:r w:rsidR="0056109D">
        <w:t>5</w:t>
      </w:r>
      <w:r w:rsidR="001505FF">
        <w:t>)</w:t>
      </w:r>
      <w:r w:rsidR="00F50785">
        <w:t xml:space="preserve">, </w:t>
      </w:r>
      <w:r w:rsidR="009958E9">
        <w:t xml:space="preserve">suggesting that the intervention until and including the in-person event had a positive impact on </w:t>
      </w:r>
      <w:r>
        <w:t xml:space="preserve">participants’ </w:t>
      </w:r>
      <w:r w:rsidR="009958E9">
        <w:t>confidence to cope with learning.</w:t>
      </w:r>
    </w:p>
    <w:p w14:paraId="16756ECB" w14:textId="28717BB8" w:rsidR="005F3467" w:rsidRPr="006747AC" w:rsidRDefault="005F3467" w:rsidP="2E32142D">
      <w:r>
        <w:lastRenderedPageBreak/>
        <w:t xml:space="preserve">However, </w:t>
      </w:r>
      <w:r w:rsidR="00392DD9">
        <w:t>t</w:t>
      </w:r>
      <w:r w:rsidR="001505FF">
        <w:t xml:space="preserve">his impact was not maintained across the course of the programme. </w:t>
      </w:r>
      <w:r w:rsidR="0039775B">
        <w:t>While mean confidence scores increased in Groups 2 and 3</w:t>
      </w:r>
      <w:r w:rsidR="00411EB7">
        <w:t xml:space="preserve">, these results were not </w:t>
      </w:r>
      <w:r w:rsidR="00DA30E3">
        <w:t>statistically</w:t>
      </w:r>
      <w:r w:rsidR="00411EB7">
        <w:t xml:space="preserve"> significant </w:t>
      </w:r>
      <w:r w:rsidR="00354A62">
        <w:t>(G2 p=0.5</w:t>
      </w:r>
      <w:r w:rsidR="0056109D">
        <w:t>6</w:t>
      </w:r>
      <w:r w:rsidR="00354A62">
        <w:t>, G3 p=0.51) and had small effect sizes</w:t>
      </w:r>
      <w:r w:rsidR="00DA30E3">
        <w:t xml:space="preserve"> (G2 0.08, G3 0.1</w:t>
      </w:r>
      <w:r w:rsidR="000A01E0">
        <w:t>1</w:t>
      </w:r>
      <w:r w:rsidR="00DA30E3">
        <w:t>), which shows a distinct difference from Group 1.</w:t>
      </w:r>
    </w:p>
    <w:p w14:paraId="6CE0E57E" w14:textId="77777777" w:rsidR="004A5490" w:rsidRDefault="004A5490" w:rsidP="2E32142D">
      <w:pPr>
        <w:rPr>
          <w:b/>
          <w:bCs/>
          <w:u w:val="single"/>
        </w:rPr>
      </w:pPr>
    </w:p>
    <w:p w14:paraId="2223773A" w14:textId="1EE5AEF5" w:rsidR="00690AB5" w:rsidRPr="008C5CAB" w:rsidRDefault="00690AB5" w:rsidP="2E32142D">
      <w:pPr>
        <w:rPr>
          <w:b/>
          <w:bCs/>
        </w:rPr>
      </w:pPr>
      <w:r w:rsidRPr="008C5CAB">
        <w:rPr>
          <w:b/>
          <w:bCs/>
        </w:rPr>
        <w:t>Concerns</w:t>
      </w:r>
    </w:p>
    <w:p w14:paraId="6B6818AC" w14:textId="3A724AD4" w:rsidR="00E61302" w:rsidRDefault="00EC4225" w:rsidP="2E32142D">
      <w:r>
        <w:t xml:space="preserve">Across the programme, </w:t>
      </w:r>
      <w:r w:rsidR="00943C0C">
        <w:t xml:space="preserve">participants </w:t>
      </w:r>
      <w:r>
        <w:t xml:space="preserve">reported a reduction in concerns about progression to </w:t>
      </w:r>
      <w:r w:rsidR="002F2DF2">
        <w:t>university</w:t>
      </w:r>
      <w:r>
        <w:t xml:space="preserve">, as shown in the </w:t>
      </w:r>
      <w:r w:rsidR="00DC4E0E">
        <w:t xml:space="preserve">reduction in mean scores across all three groups. </w:t>
      </w:r>
    </w:p>
    <w:p w14:paraId="008A8D08" w14:textId="3946D248" w:rsidR="00553D1E" w:rsidRDefault="009F2934" w:rsidP="2E32142D">
      <w:r>
        <w:t>However, in all three groups these were not statistically significant</w:t>
      </w:r>
      <w:r w:rsidR="00571345">
        <w:t xml:space="preserve"> (G1 p=0.1, G2 </w:t>
      </w:r>
      <w:r w:rsidR="00441774">
        <w:t>p</w:t>
      </w:r>
      <w:r w:rsidR="00571345">
        <w:t>=0.17, G3 p=0.3</w:t>
      </w:r>
      <w:r w:rsidR="000A01E0">
        <w:t>1</w:t>
      </w:r>
      <w:r w:rsidR="00441774">
        <w:t>)</w:t>
      </w:r>
      <w:r w:rsidR="002B6002">
        <w:t xml:space="preserve"> and effect sizes were largely small. </w:t>
      </w:r>
      <w:r w:rsidR="00C24C3C">
        <w:t>There was</w:t>
      </w:r>
      <w:r w:rsidR="00C24C3C" w:rsidDel="000211D9">
        <w:t xml:space="preserve"> </w:t>
      </w:r>
      <w:r w:rsidR="000211D9">
        <w:t xml:space="preserve">a relatively large </w:t>
      </w:r>
      <w:r w:rsidR="00C24C3C">
        <w:t xml:space="preserve">difference in </w:t>
      </w:r>
      <w:r w:rsidR="000211D9">
        <w:t xml:space="preserve">means for </w:t>
      </w:r>
      <w:r w:rsidR="00C24C3C">
        <w:t>Group 1, which had a notably larger effect size</w:t>
      </w:r>
      <w:r w:rsidR="00E61302">
        <w:t>, perhaps showing the impact of the in-person event.</w:t>
      </w:r>
    </w:p>
    <w:p w14:paraId="7F354DB8" w14:textId="3C05FB30" w:rsidR="00AD4141" w:rsidRDefault="00573D18" w:rsidP="00573D18">
      <w:pPr>
        <w:pStyle w:val="Heading2"/>
      </w:pPr>
      <w:bookmarkStart w:id="22" w:name="_Toc227058302"/>
      <w:r>
        <w:t>Enrolment Results</w:t>
      </w:r>
      <w:bookmarkEnd w:id="22"/>
    </w:p>
    <w:p w14:paraId="59AFAB07" w14:textId="77777777" w:rsidR="006037B2" w:rsidRPr="00BA496A" w:rsidRDefault="006037B2" w:rsidP="006037B2">
      <w:pPr>
        <w:pStyle w:val="NormalWeb"/>
        <w:spacing w:after="120" w:afterAutospacing="0"/>
        <w:rPr>
          <w:rFonts w:ascii="Arial" w:hAnsi="Arial" w:cs="Arial"/>
          <w:b/>
          <w:bCs/>
        </w:rPr>
      </w:pPr>
      <w:r w:rsidRPr="00BA496A">
        <w:rPr>
          <w:rFonts w:ascii="Arial" w:hAnsi="Arial" w:cs="Arial"/>
          <w:b/>
          <w:bCs/>
        </w:rPr>
        <w:t>Comparison group</w:t>
      </w:r>
    </w:p>
    <w:p w14:paraId="434112DF" w14:textId="7ADFD7A0" w:rsidR="006037B2" w:rsidRPr="003821AA" w:rsidRDefault="006037B2" w:rsidP="006037B2">
      <w:pPr>
        <w:rPr>
          <w:rFonts w:cs="Arial"/>
        </w:rPr>
      </w:pPr>
      <w:r w:rsidRPr="67ED72B7">
        <w:rPr>
          <w:rFonts w:cs="Arial"/>
        </w:rPr>
        <w:t xml:space="preserve">We invited </w:t>
      </w:r>
      <w:r w:rsidR="005B72DD">
        <w:rPr>
          <w:rFonts w:cs="Arial"/>
        </w:rPr>
        <w:t>5594</w:t>
      </w:r>
      <w:r w:rsidRPr="67ED72B7">
        <w:rPr>
          <w:rFonts w:cs="Arial"/>
        </w:rPr>
        <w:t xml:space="preserve"> </w:t>
      </w:r>
      <w:r w:rsidR="00513160">
        <w:rPr>
          <w:rFonts w:cs="Arial"/>
        </w:rPr>
        <w:t>applicants</w:t>
      </w:r>
      <w:r w:rsidRPr="67ED72B7">
        <w:rPr>
          <w:rFonts w:cs="Arial"/>
        </w:rPr>
        <w:t xml:space="preserve"> to </w:t>
      </w:r>
      <w:r w:rsidR="002A0830">
        <w:rPr>
          <w:rFonts w:cs="Arial"/>
        </w:rPr>
        <w:t>join the Access Reading programme</w:t>
      </w:r>
      <w:r w:rsidR="00172469">
        <w:rPr>
          <w:rFonts w:cs="Arial"/>
        </w:rPr>
        <w:t>:</w:t>
      </w:r>
      <w:r w:rsidRPr="67ED72B7">
        <w:rPr>
          <w:rFonts w:cs="Arial"/>
        </w:rPr>
        <w:t xml:space="preserve"> of </w:t>
      </w:r>
      <w:r w:rsidR="00A536FE">
        <w:rPr>
          <w:rFonts w:cs="Arial"/>
        </w:rPr>
        <w:t>this comparison group</w:t>
      </w:r>
      <w:r>
        <w:rPr>
          <w:rFonts w:cs="Arial"/>
        </w:rPr>
        <w:t xml:space="preserve">, </w:t>
      </w:r>
      <w:r w:rsidR="00A536FE">
        <w:rPr>
          <w:rFonts w:cs="Arial"/>
        </w:rPr>
        <w:t>1093</w:t>
      </w:r>
      <w:r w:rsidRPr="67ED72B7">
        <w:rPr>
          <w:rFonts w:cs="Arial"/>
        </w:rPr>
        <w:t xml:space="preserve"> enrolled at the University</w:t>
      </w:r>
      <w:r w:rsidR="00172469">
        <w:rPr>
          <w:rFonts w:cs="Arial"/>
        </w:rPr>
        <w:t xml:space="preserve">, resulting in only </w:t>
      </w:r>
      <w:r w:rsidRPr="67ED72B7">
        <w:rPr>
          <w:rFonts w:cs="Arial"/>
        </w:rPr>
        <w:t>a 19.</w:t>
      </w:r>
      <w:r w:rsidR="006C6C57">
        <w:rPr>
          <w:rFonts w:cs="Arial"/>
        </w:rPr>
        <w:t>54</w:t>
      </w:r>
      <w:r w:rsidRPr="67ED72B7">
        <w:rPr>
          <w:rFonts w:cs="Arial"/>
        </w:rPr>
        <w:t>% conversion rate from application to enrolment.</w:t>
      </w:r>
      <w:r w:rsidR="006C6C57">
        <w:rPr>
          <w:rFonts w:cs="Arial"/>
        </w:rPr>
        <w:t xml:space="preserve"> Of the </w:t>
      </w:r>
      <w:r w:rsidR="002A0830">
        <w:rPr>
          <w:rFonts w:cs="Arial"/>
        </w:rPr>
        <w:t xml:space="preserve">356 </w:t>
      </w:r>
      <w:r w:rsidR="00513160">
        <w:rPr>
          <w:rFonts w:cs="Arial"/>
        </w:rPr>
        <w:t xml:space="preserve">applicants who did sign up for the programme, </w:t>
      </w:r>
      <w:r w:rsidR="0055132B">
        <w:rPr>
          <w:rFonts w:cs="Arial"/>
        </w:rPr>
        <w:t xml:space="preserve">194 enrolled at the University, which is a conversion rate from application to enrolment of 54.49%. </w:t>
      </w:r>
      <w:r w:rsidR="006B4A9D">
        <w:rPr>
          <w:rFonts w:cs="Arial"/>
        </w:rPr>
        <w:t>143 applicants also attended the in-person event as part of the programme, and this group demonstrated the highest conversion rate from application to enrolment at 6</w:t>
      </w:r>
      <w:r w:rsidR="008A372E">
        <w:rPr>
          <w:rFonts w:cs="Arial"/>
        </w:rPr>
        <w:t>4</w:t>
      </w:r>
      <w:r w:rsidR="006B4A9D">
        <w:rPr>
          <w:rFonts w:cs="Arial"/>
        </w:rPr>
        <w:t>.34%</w:t>
      </w:r>
      <w:r w:rsidRPr="67ED72B7">
        <w:rPr>
          <w:rFonts w:cs="Arial"/>
        </w:rPr>
        <w:t>.</w:t>
      </w:r>
      <w:r w:rsidR="006B4A9D">
        <w:rPr>
          <w:rFonts w:cs="Arial"/>
        </w:rPr>
        <w:t xml:space="preserve"> This </w:t>
      </w:r>
      <w:r w:rsidR="008A372E">
        <w:rPr>
          <w:rFonts w:cs="Arial"/>
        </w:rPr>
        <w:t>is comparable with</w:t>
      </w:r>
      <w:r w:rsidR="000352DF">
        <w:rPr>
          <w:rFonts w:cs="Arial"/>
        </w:rPr>
        <w:t xml:space="preserve"> </w:t>
      </w:r>
      <w:r w:rsidR="006B4A9D">
        <w:rPr>
          <w:rFonts w:cs="Arial"/>
        </w:rPr>
        <w:t xml:space="preserve">the rate of </w:t>
      </w:r>
      <w:r w:rsidR="009E5452">
        <w:rPr>
          <w:rFonts w:cs="Arial"/>
        </w:rPr>
        <w:t xml:space="preserve">62% application to enrolment for </w:t>
      </w:r>
      <w:r w:rsidR="000352DF">
        <w:rPr>
          <w:rFonts w:cs="Arial"/>
        </w:rPr>
        <w:t xml:space="preserve">the 86 </w:t>
      </w:r>
      <w:r w:rsidR="009E5452">
        <w:rPr>
          <w:rFonts w:cs="Arial"/>
        </w:rPr>
        <w:t>attendees of the 202</w:t>
      </w:r>
      <w:r w:rsidR="00564080">
        <w:rPr>
          <w:rFonts w:cs="Arial"/>
        </w:rPr>
        <w:t>3/</w:t>
      </w:r>
      <w:r w:rsidR="009E5452">
        <w:rPr>
          <w:rFonts w:cs="Arial"/>
        </w:rPr>
        <w:t>4 in-person event</w:t>
      </w:r>
      <w:r w:rsidR="000352DF">
        <w:rPr>
          <w:rFonts w:cs="Arial"/>
        </w:rPr>
        <w:t>, despite the larger number of attendees in 202</w:t>
      </w:r>
      <w:r w:rsidR="00564080">
        <w:rPr>
          <w:rFonts w:cs="Arial"/>
        </w:rPr>
        <w:t>4/</w:t>
      </w:r>
      <w:r w:rsidR="000352DF">
        <w:rPr>
          <w:rFonts w:cs="Arial"/>
        </w:rPr>
        <w:t>5.</w:t>
      </w:r>
    </w:p>
    <w:p w14:paraId="7AC7AFC9" w14:textId="77777777" w:rsidR="006037B2" w:rsidRDefault="006037B2" w:rsidP="2E32142D"/>
    <w:p w14:paraId="28D3D1BD" w14:textId="5A5C19E1" w:rsidR="00934B87" w:rsidRDefault="00A55155" w:rsidP="00934B87">
      <w:pPr>
        <w:spacing w:before="0" w:after="200" w:line="276" w:lineRule="auto"/>
      </w:pPr>
      <w:r>
        <w:t xml:space="preserve">Table 2: </w:t>
      </w:r>
      <w:r w:rsidR="00934B87">
        <w:t>Enrolment of applicants eligible for Access Reading</w:t>
      </w:r>
    </w:p>
    <w:tbl>
      <w:tblPr>
        <w:tblStyle w:val="TableGrid"/>
        <w:tblW w:w="0" w:type="auto"/>
        <w:tblLook w:val="04A0" w:firstRow="1" w:lastRow="0" w:firstColumn="1" w:lastColumn="0" w:noHBand="0" w:noVBand="1"/>
      </w:tblPr>
      <w:tblGrid>
        <w:gridCol w:w="3964"/>
        <w:gridCol w:w="2747"/>
        <w:gridCol w:w="2747"/>
      </w:tblGrid>
      <w:tr w:rsidR="00934B87" w14:paraId="45F4B171" w14:textId="77777777" w:rsidTr="004C0573">
        <w:tc>
          <w:tcPr>
            <w:tcW w:w="3964" w:type="dxa"/>
          </w:tcPr>
          <w:p w14:paraId="612215E7" w14:textId="77777777" w:rsidR="00934B87" w:rsidRPr="00A54F01" w:rsidRDefault="00934B87" w:rsidP="004C0573">
            <w:pPr>
              <w:spacing w:before="0" w:after="200" w:line="276" w:lineRule="auto"/>
              <w:rPr>
                <w:b/>
                <w:bCs/>
              </w:rPr>
            </w:pPr>
            <w:r w:rsidRPr="00A54F01">
              <w:rPr>
                <w:b/>
                <w:bCs/>
              </w:rPr>
              <w:t>Status</w:t>
            </w:r>
          </w:p>
        </w:tc>
        <w:tc>
          <w:tcPr>
            <w:tcW w:w="2747" w:type="dxa"/>
          </w:tcPr>
          <w:p w14:paraId="73AF1B60" w14:textId="77777777" w:rsidR="00934B87" w:rsidRPr="00A54F01" w:rsidRDefault="00934B87" w:rsidP="004C0573">
            <w:pPr>
              <w:spacing w:before="0" w:after="200" w:line="276" w:lineRule="auto"/>
              <w:jc w:val="center"/>
              <w:rPr>
                <w:b/>
                <w:bCs/>
              </w:rPr>
            </w:pPr>
            <w:r w:rsidRPr="00A54F01">
              <w:rPr>
                <w:b/>
                <w:bCs/>
              </w:rPr>
              <w:t>Number of Applicants</w:t>
            </w:r>
          </w:p>
        </w:tc>
        <w:tc>
          <w:tcPr>
            <w:tcW w:w="2747" w:type="dxa"/>
          </w:tcPr>
          <w:p w14:paraId="1FBA37A0" w14:textId="77777777" w:rsidR="00934B87" w:rsidRPr="00A54F01" w:rsidRDefault="00934B87" w:rsidP="004C0573">
            <w:pPr>
              <w:spacing w:before="0" w:after="200" w:line="276" w:lineRule="auto"/>
              <w:jc w:val="center"/>
              <w:rPr>
                <w:b/>
                <w:bCs/>
              </w:rPr>
            </w:pPr>
            <w:r w:rsidRPr="00A54F01">
              <w:rPr>
                <w:b/>
                <w:bCs/>
              </w:rPr>
              <w:t>Percentage</w:t>
            </w:r>
          </w:p>
        </w:tc>
      </w:tr>
      <w:tr w:rsidR="00934B87" w14:paraId="0B4B2FF8" w14:textId="77777777" w:rsidTr="004C0573">
        <w:tc>
          <w:tcPr>
            <w:tcW w:w="3964" w:type="dxa"/>
          </w:tcPr>
          <w:p w14:paraId="57481E5B" w14:textId="77777777" w:rsidR="00934B87" w:rsidRDefault="00934B87" w:rsidP="004C0573">
            <w:pPr>
              <w:spacing w:before="0" w:after="200" w:line="276" w:lineRule="auto"/>
            </w:pPr>
            <w:r>
              <w:t>Enrolled at UoR 2025/26</w:t>
            </w:r>
          </w:p>
        </w:tc>
        <w:tc>
          <w:tcPr>
            <w:tcW w:w="2747" w:type="dxa"/>
            <w:vAlign w:val="bottom"/>
          </w:tcPr>
          <w:p w14:paraId="04C16EE4" w14:textId="77777777" w:rsidR="00934B87" w:rsidRPr="00472E44" w:rsidRDefault="00934B87" w:rsidP="004C0573">
            <w:pPr>
              <w:spacing w:before="0" w:after="200" w:line="276" w:lineRule="auto"/>
              <w:jc w:val="center"/>
              <w:rPr>
                <w:rFonts w:cs="Arial"/>
                <w:szCs w:val="24"/>
              </w:rPr>
            </w:pPr>
            <w:r w:rsidRPr="00472E44">
              <w:rPr>
                <w:rFonts w:cs="Arial"/>
                <w:color w:val="000000"/>
                <w:szCs w:val="24"/>
              </w:rPr>
              <w:t>1093</w:t>
            </w:r>
          </w:p>
        </w:tc>
        <w:tc>
          <w:tcPr>
            <w:tcW w:w="2747" w:type="dxa"/>
            <w:vAlign w:val="bottom"/>
          </w:tcPr>
          <w:p w14:paraId="0BC7CE8A" w14:textId="77777777" w:rsidR="00934B87" w:rsidRPr="00472E44" w:rsidRDefault="00934B87" w:rsidP="004C0573">
            <w:pPr>
              <w:spacing w:before="0" w:after="200" w:line="276" w:lineRule="auto"/>
              <w:jc w:val="center"/>
              <w:rPr>
                <w:rFonts w:cs="Arial"/>
                <w:szCs w:val="24"/>
              </w:rPr>
            </w:pPr>
            <w:r w:rsidRPr="00472E44">
              <w:rPr>
                <w:rFonts w:cs="Arial"/>
                <w:color w:val="000000"/>
                <w:szCs w:val="24"/>
              </w:rPr>
              <w:t>19.54%</w:t>
            </w:r>
          </w:p>
        </w:tc>
      </w:tr>
      <w:tr w:rsidR="00934B87" w14:paraId="5986A96B" w14:textId="77777777" w:rsidTr="004C0573">
        <w:tc>
          <w:tcPr>
            <w:tcW w:w="3964" w:type="dxa"/>
          </w:tcPr>
          <w:p w14:paraId="5E7BFA89" w14:textId="77777777" w:rsidR="00934B87" w:rsidRDefault="00934B87" w:rsidP="004C0573">
            <w:pPr>
              <w:spacing w:before="0" w:after="200" w:line="276" w:lineRule="auto"/>
            </w:pPr>
            <w:r>
              <w:t>Deferred entry at UoR to 2026/27</w:t>
            </w:r>
          </w:p>
        </w:tc>
        <w:tc>
          <w:tcPr>
            <w:tcW w:w="2747" w:type="dxa"/>
            <w:vAlign w:val="bottom"/>
          </w:tcPr>
          <w:p w14:paraId="55473182" w14:textId="77777777" w:rsidR="00934B87" w:rsidRPr="00472E44" w:rsidRDefault="00934B87" w:rsidP="004C0573">
            <w:pPr>
              <w:spacing w:before="0" w:after="200" w:line="276" w:lineRule="auto"/>
              <w:jc w:val="center"/>
              <w:rPr>
                <w:rFonts w:cs="Arial"/>
                <w:szCs w:val="24"/>
              </w:rPr>
            </w:pPr>
            <w:r w:rsidRPr="00472E44">
              <w:rPr>
                <w:rFonts w:cs="Arial"/>
                <w:color w:val="000000"/>
                <w:szCs w:val="24"/>
              </w:rPr>
              <w:t>194</w:t>
            </w:r>
          </w:p>
        </w:tc>
        <w:tc>
          <w:tcPr>
            <w:tcW w:w="2747" w:type="dxa"/>
            <w:vAlign w:val="bottom"/>
          </w:tcPr>
          <w:p w14:paraId="27433CF7" w14:textId="77777777" w:rsidR="00934B87" w:rsidRPr="00472E44" w:rsidRDefault="00934B87" w:rsidP="004C0573">
            <w:pPr>
              <w:spacing w:before="0" w:after="200" w:line="276" w:lineRule="auto"/>
              <w:jc w:val="center"/>
              <w:rPr>
                <w:rFonts w:cs="Arial"/>
                <w:szCs w:val="24"/>
              </w:rPr>
            </w:pPr>
            <w:r w:rsidRPr="00472E44">
              <w:rPr>
                <w:rFonts w:cs="Arial"/>
                <w:color w:val="000000"/>
                <w:szCs w:val="24"/>
              </w:rPr>
              <w:t>3.47%</w:t>
            </w:r>
          </w:p>
        </w:tc>
      </w:tr>
      <w:tr w:rsidR="00934B87" w14:paraId="037CCE29" w14:textId="77777777" w:rsidTr="004C0573">
        <w:tc>
          <w:tcPr>
            <w:tcW w:w="3964" w:type="dxa"/>
          </w:tcPr>
          <w:p w14:paraId="1E1E57F9" w14:textId="77777777" w:rsidR="00934B87" w:rsidRDefault="00934B87" w:rsidP="004C0573">
            <w:pPr>
              <w:spacing w:before="0" w:after="200" w:line="276" w:lineRule="auto"/>
            </w:pPr>
            <w:r>
              <w:t>Placed Elsewhere</w:t>
            </w:r>
          </w:p>
        </w:tc>
        <w:tc>
          <w:tcPr>
            <w:tcW w:w="2747" w:type="dxa"/>
            <w:vAlign w:val="bottom"/>
          </w:tcPr>
          <w:p w14:paraId="0D21A6BB" w14:textId="77777777" w:rsidR="00934B87" w:rsidRPr="00472E44" w:rsidRDefault="00934B87" w:rsidP="004C0573">
            <w:pPr>
              <w:spacing w:before="0" w:after="200" w:line="276" w:lineRule="auto"/>
              <w:jc w:val="center"/>
              <w:rPr>
                <w:rFonts w:cs="Arial"/>
                <w:szCs w:val="24"/>
              </w:rPr>
            </w:pPr>
            <w:r w:rsidRPr="00472E44">
              <w:rPr>
                <w:rFonts w:cs="Arial"/>
                <w:color w:val="000000"/>
                <w:szCs w:val="24"/>
              </w:rPr>
              <w:t>3868</w:t>
            </w:r>
          </w:p>
        </w:tc>
        <w:tc>
          <w:tcPr>
            <w:tcW w:w="2747" w:type="dxa"/>
            <w:vAlign w:val="bottom"/>
          </w:tcPr>
          <w:p w14:paraId="5F05FB0B" w14:textId="77777777" w:rsidR="00934B87" w:rsidRPr="00472E44" w:rsidRDefault="00934B87" w:rsidP="004C0573">
            <w:pPr>
              <w:spacing w:before="0" w:after="200" w:line="276" w:lineRule="auto"/>
              <w:jc w:val="center"/>
              <w:rPr>
                <w:rFonts w:cs="Arial"/>
                <w:szCs w:val="24"/>
              </w:rPr>
            </w:pPr>
            <w:r w:rsidRPr="00472E44">
              <w:rPr>
                <w:rFonts w:cs="Arial"/>
                <w:color w:val="000000"/>
                <w:szCs w:val="24"/>
              </w:rPr>
              <w:t>69.15%</w:t>
            </w:r>
          </w:p>
        </w:tc>
      </w:tr>
      <w:tr w:rsidR="00934B87" w14:paraId="4BD6CDA6" w14:textId="77777777" w:rsidTr="004C0573">
        <w:tc>
          <w:tcPr>
            <w:tcW w:w="3964" w:type="dxa"/>
          </w:tcPr>
          <w:p w14:paraId="65FDA35B" w14:textId="77777777" w:rsidR="00934B87" w:rsidRDefault="00934B87" w:rsidP="004C0573">
            <w:pPr>
              <w:spacing w:before="0" w:after="200" w:line="276" w:lineRule="auto"/>
            </w:pPr>
            <w:r>
              <w:t>Declined</w:t>
            </w:r>
          </w:p>
        </w:tc>
        <w:tc>
          <w:tcPr>
            <w:tcW w:w="2747" w:type="dxa"/>
            <w:vAlign w:val="bottom"/>
          </w:tcPr>
          <w:p w14:paraId="4E70B732" w14:textId="77777777" w:rsidR="00934B87" w:rsidRPr="00472E44" w:rsidRDefault="00934B87" w:rsidP="004C0573">
            <w:pPr>
              <w:spacing w:before="0" w:after="200" w:line="276" w:lineRule="auto"/>
              <w:jc w:val="center"/>
              <w:rPr>
                <w:rFonts w:cs="Arial"/>
                <w:szCs w:val="24"/>
              </w:rPr>
            </w:pPr>
            <w:r w:rsidRPr="00472E44">
              <w:rPr>
                <w:rFonts w:cs="Arial"/>
                <w:color w:val="000000"/>
                <w:szCs w:val="24"/>
              </w:rPr>
              <w:t>439</w:t>
            </w:r>
          </w:p>
        </w:tc>
        <w:tc>
          <w:tcPr>
            <w:tcW w:w="2747" w:type="dxa"/>
            <w:vAlign w:val="bottom"/>
          </w:tcPr>
          <w:p w14:paraId="5530CA89" w14:textId="77777777" w:rsidR="00934B87" w:rsidRPr="00472E44" w:rsidRDefault="00934B87" w:rsidP="004C0573">
            <w:pPr>
              <w:spacing w:before="0" w:after="200" w:line="276" w:lineRule="auto"/>
              <w:jc w:val="center"/>
              <w:rPr>
                <w:rFonts w:cs="Arial"/>
                <w:szCs w:val="24"/>
              </w:rPr>
            </w:pPr>
            <w:r w:rsidRPr="00472E44">
              <w:rPr>
                <w:rFonts w:cs="Arial"/>
                <w:color w:val="000000"/>
                <w:szCs w:val="24"/>
              </w:rPr>
              <w:t>7.84%</w:t>
            </w:r>
          </w:p>
        </w:tc>
      </w:tr>
      <w:tr w:rsidR="00934B87" w14:paraId="4D0E8081" w14:textId="77777777" w:rsidTr="004C0573">
        <w:tc>
          <w:tcPr>
            <w:tcW w:w="3964" w:type="dxa"/>
          </w:tcPr>
          <w:p w14:paraId="0A9C3805" w14:textId="77777777" w:rsidR="00934B87" w:rsidRDefault="00934B87" w:rsidP="004C0573">
            <w:pPr>
              <w:spacing w:before="0" w:after="200" w:line="276" w:lineRule="auto"/>
            </w:pPr>
            <w:r>
              <w:t>TOTAL</w:t>
            </w:r>
          </w:p>
        </w:tc>
        <w:tc>
          <w:tcPr>
            <w:tcW w:w="2747" w:type="dxa"/>
            <w:vAlign w:val="bottom"/>
          </w:tcPr>
          <w:p w14:paraId="261DBBB5" w14:textId="77777777" w:rsidR="00934B87" w:rsidRPr="00472E44" w:rsidRDefault="00934B87" w:rsidP="004C0573">
            <w:pPr>
              <w:spacing w:before="0" w:after="200" w:line="276" w:lineRule="auto"/>
              <w:jc w:val="center"/>
              <w:rPr>
                <w:rFonts w:cs="Arial"/>
                <w:szCs w:val="24"/>
              </w:rPr>
            </w:pPr>
            <w:r w:rsidRPr="00472E44">
              <w:rPr>
                <w:rFonts w:cs="Arial"/>
                <w:color w:val="000000"/>
                <w:szCs w:val="24"/>
              </w:rPr>
              <w:t>5594</w:t>
            </w:r>
          </w:p>
        </w:tc>
        <w:tc>
          <w:tcPr>
            <w:tcW w:w="2747" w:type="dxa"/>
            <w:vAlign w:val="bottom"/>
          </w:tcPr>
          <w:p w14:paraId="5DB6E8D1" w14:textId="77777777" w:rsidR="00934B87" w:rsidRPr="00472E44" w:rsidRDefault="00934B87" w:rsidP="004C0573">
            <w:pPr>
              <w:spacing w:before="0" w:after="200" w:line="276" w:lineRule="auto"/>
              <w:jc w:val="center"/>
              <w:rPr>
                <w:rFonts w:cs="Arial"/>
                <w:szCs w:val="24"/>
              </w:rPr>
            </w:pPr>
            <w:r w:rsidRPr="00472E44">
              <w:rPr>
                <w:rFonts w:cs="Arial"/>
                <w:color w:val="000000"/>
                <w:szCs w:val="24"/>
              </w:rPr>
              <w:t>100%</w:t>
            </w:r>
          </w:p>
        </w:tc>
      </w:tr>
    </w:tbl>
    <w:p w14:paraId="72AA788C" w14:textId="46D61C4B" w:rsidR="000030F9" w:rsidRDefault="000030F9" w:rsidP="0076068F">
      <w:pPr>
        <w:spacing w:before="0" w:after="200" w:line="276" w:lineRule="auto"/>
        <w:sectPr w:rsidR="000030F9" w:rsidSect="00A76FEF">
          <w:pgSz w:w="11906" w:h="16840"/>
          <w:pgMar w:top="1134" w:right="737" w:bottom="1134" w:left="1701" w:header="708" w:footer="708" w:gutter="0"/>
          <w:cols w:space="708"/>
          <w:titlePg/>
          <w:docGrid w:linePitch="360"/>
        </w:sectPr>
      </w:pPr>
    </w:p>
    <w:p w14:paraId="710B8A6A" w14:textId="4C96DAEA" w:rsidR="00B04C97" w:rsidRDefault="007C70CA">
      <w:pPr>
        <w:spacing w:before="0" w:after="200" w:line="276" w:lineRule="auto"/>
      </w:pPr>
      <w:r>
        <w:lastRenderedPageBreak/>
        <w:t xml:space="preserve">Table 3: </w:t>
      </w:r>
      <w:r w:rsidR="005F630C">
        <w:t>Enrolment of a</w:t>
      </w:r>
      <w:r w:rsidR="00B04C97">
        <w:t xml:space="preserve">pplicants </w:t>
      </w:r>
      <w:r w:rsidR="005F630C">
        <w:t xml:space="preserve">who </w:t>
      </w:r>
      <w:r w:rsidR="00B04C97">
        <w:t>signed up for Access Reading when invited</w:t>
      </w:r>
    </w:p>
    <w:tbl>
      <w:tblPr>
        <w:tblStyle w:val="TableGrid"/>
        <w:tblW w:w="0" w:type="auto"/>
        <w:tblLook w:val="04A0" w:firstRow="1" w:lastRow="0" w:firstColumn="1" w:lastColumn="0" w:noHBand="0" w:noVBand="1"/>
      </w:tblPr>
      <w:tblGrid>
        <w:gridCol w:w="3964"/>
        <w:gridCol w:w="2747"/>
        <w:gridCol w:w="2747"/>
      </w:tblGrid>
      <w:tr w:rsidR="00C027EC" w14:paraId="2AD43DA4" w14:textId="77777777" w:rsidTr="004C0573">
        <w:tc>
          <w:tcPr>
            <w:tcW w:w="3964" w:type="dxa"/>
          </w:tcPr>
          <w:p w14:paraId="0B9FB8B8" w14:textId="77777777" w:rsidR="00C027EC" w:rsidRPr="00A54F01" w:rsidRDefault="00C027EC" w:rsidP="004C0573">
            <w:pPr>
              <w:spacing w:before="0" w:after="200" w:line="276" w:lineRule="auto"/>
              <w:rPr>
                <w:b/>
                <w:bCs/>
              </w:rPr>
            </w:pPr>
            <w:r w:rsidRPr="00A54F01">
              <w:rPr>
                <w:b/>
                <w:bCs/>
              </w:rPr>
              <w:t>Status</w:t>
            </w:r>
          </w:p>
        </w:tc>
        <w:tc>
          <w:tcPr>
            <w:tcW w:w="2747" w:type="dxa"/>
          </w:tcPr>
          <w:p w14:paraId="097E2E82" w14:textId="77777777" w:rsidR="00C027EC" w:rsidRPr="00A54F01" w:rsidRDefault="00C027EC" w:rsidP="004C0573">
            <w:pPr>
              <w:spacing w:before="0" w:after="200" w:line="276" w:lineRule="auto"/>
              <w:jc w:val="center"/>
              <w:rPr>
                <w:b/>
                <w:bCs/>
              </w:rPr>
            </w:pPr>
            <w:r w:rsidRPr="00A54F01">
              <w:rPr>
                <w:b/>
                <w:bCs/>
              </w:rPr>
              <w:t>Number of Applicants</w:t>
            </w:r>
          </w:p>
        </w:tc>
        <w:tc>
          <w:tcPr>
            <w:tcW w:w="2747" w:type="dxa"/>
          </w:tcPr>
          <w:p w14:paraId="48CAE587" w14:textId="77777777" w:rsidR="00C027EC" w:rsidRPr="00A54F01" w:rsidRDefault="00C027EC" w:rsidP="004C0573">
            <w:pPr>
              <w:spacing w:before="0" w:after="200" w:line="276" w:lineRule="auto"/>
              <w:jc w:val="center"/>
              <w:rPr>
                <w:b/>
                <w:bCs/>
              </w:rPr>
            </w:pPr>
            <w:r w:rsidRPr="00A54F01">
              <w:rPr>
                <w:b/>
                <w:bCs/>
              </w:rPr>
              <w:t>Percentage</w:t>
            </w:r>
          </w:p>
        </w:tc>
      </w:tr>
      <w:tr w:rsidR="00C027EC" w14:paraId="03E2BF9F" w14:textId="77777777" w:rsidTr="004C0573">
        <w:tc>
          <w:tcPr>
            <w:tcW w:w="3964" w:type="dxa"/>
          </w:tcPr>
          <w:p w14:paraId="2B4D8F00" w14:textId="77777777" w:rsidR="00C027EC" w:rsidRDefault="00C027EC" w:rsidP="00C027EC">
            <w:pPr>
              <w:spacing w:before="0" w:after="200" w:line="276" w:lineRule="auto"/>
            </w:pPr>
            <w:r>
              <w:t>Enrolled at UoR 2025/26</w:t>
            </w:r>
          </w:p>
        </w:tc>
        <w:tc>
          <w:tcPr>
            <w:tcW w:w="2747" w:type="dxa"/>
            <w:vAlign w:val="bottom"/>
          </w:tcPr>
          <w:p w14:paraId="5973C558" w14:textId="04689546" w:rsidR="00C027EC" w:rsidRPr="00C027EC" w:rsidRDefault="00C027EC" w:rsidP="00C027EC">
            <w:pPr>
              <w:spacing w:before="0" w:after="200" w:line="276" w:lineRule="auto"/>
              <w:jc w:val="center"/>
              <w:rPr>
                <w:rFonts w:cs="Arial"/>
                <w:szCs w:val="24"/>
              </w:rPr>
            </w:pPr>
            <w:r w:rsidRPr="00C027EC">
              <w:rPr>
                <w:rFonts w:cs="Arial"/>
                <w:color w:val="000000"/>
                <w:szCs w:val="24"/>
              </w:rPr>
              <w:t>194</w:t>
            </w:r>
          </w:p>
        </w:tc>
        <w:tc>
          <w:tcPr>
            <w:tcW w:w="2747" w:type="dxa"/>
            <w:vAlign w:val="bottom"/>
          </w:tcPr>
          <w:p w14:paraId="4966B2B6" w14:textId="3D668599" w:rsidR="00C027EC" w:rsidRPr="00C027EC" w:rsidRDefault="00C027EC" w:rsidP="00C027EC">
            <w:pPr>
              <w:spacing w:before="0" w:after="200" w:line="276" w:lineRule="auto"/>
              <w:jc w:val="center"/>
              <w:rPr>
                <w:rFonts w:cs="Arial"/>
                <w:szCs w:val="24"/>
              </w:rPr>
            </w:pPr>
            <w:r w:rsidRPr="00C027EC">
              <w:rPr>
                <w:rFonts w:cs="Arial"/>
                <w:color w:val="000000"/>
                <w:szCs w:val="24"/>
              </w:rPr>
              <w:t>54.49%</w:t>
            </w:r>
          </w:p>
        </w:tc>
      </w:tr>
      <w:tr w:rsidR="00C027EC" w14:paraId="2A28A9CC" w14:textId="77777777" w:rsidTr="004C0573">
        <w:tc>
          <w:tcPr>
            <w:tcW w:w="3964" w:type="dxa"/>
          </w:tcPr>
          <w:p w14:paraId="2CDDDF86" w14:textId="77777777" w:rsidR="00C027EC" w:rsidRDefault="00C027EC" w:rsidP="00C027EC">
            <w:pPr>
              <w:spacing w:before="0" w:after="200" w:line="276" w:lineRule="auto"/>
            </w:pPr>
            <w:r>
              <w:t>Deferred entry at UoR to 2026/27</w:t>
            </w:r>
          </w:p>
        </w:tc>
        <w:tc>
          <w:tcPr>
            <w:tcW w:w="2747" w:type="dxa"/>
            <w:vAlign w:val="bottom"/>
          </w:tcPr>
          <w:p w14:paraId="56D4EA53" w14:textId="650E3328" w:rsidR="00C027EC" w:rsidRPr="00C027EC" w:rsidRDefault="00C027EC" w:rsidP="00C027EC">
            <w:pPr>
              <w:spacing w:before="0" w:after="200" w:line="276" w:lineRule="auto"/>
              <w:jc w:val="center"/>
              <w:rPr>
                <w:rFonts w:cs="Arial"/>
                <w:szCs w:val="24"/>
              </w:rPr>
            </w:pPr>
            <w:r w:rsidRPr="00C027EC">
              <w:rPr>
                <w:rFonts w:cs="Arial"/>
                <w:color w:val="000000"/>
                <w:szCs w:val="24"/>
              </w:rPr>
              <w:t>15</w:t>
            </w:r>
          </w:p>
        </w:tc>
        <w:tc>
          <w:tcPr>
            <w:tcW w:w="2747" w:type="dxa"/>
            <w:vAlign w:val="bottom"/>
          </w:tcPr>
          <w:p w14:paraId="412E5967" w14:textId="22627C8D" w:rsidR="00C027EC" w:rsidRPr="00C027EC" w:rsidRDefault="00C027EC" w:rsidP="00C027EC">
            <w:pPr>
              <w:spacing w:before="0" w:after="200" w:line="276" w:lineRule="auto"/>
              <w:jc w:val="center"/>
              <w:rPr>
                <w:rFonts w:cs="Arial"/>
                <w:szCs w:val="24"/>
              </w:rPr>
            </w:pPr>
            <w:r w:rsidRPr="00C027EC">
              <w:rPr>
                <w:rFonts w:cs="Arial"/>
                <w:color w:val="000000"/>
                <w:szCs w:val="24"/>
              </w:rPr>
              <w:t>4.21%</w:t>
            </w:r>
          </w:p>
        </w:tc>
      </w:tr>
      <w:tr w:rsidR="00C027EC" w14:paraId="792E7F46" w14:textId="77777777" w:rsidTr="004C0573">
        <w:tc>
          <w:tcPr>
            <w:tcW w:w="3964" w:type="dxa"/>
          </w:tcPr>
          <w:p w14:paraId="7506C7BB" w14:textId="77777777" w:rsidR="00C027EC" w:rsidRDefault="00C027EC" w:rsidP="00C027EC">
            <w:pPr>
              <w:spacing w:before="0" w:after="200" w:line="276" w:lineRule="auto"/>
            </w:pPr>
            <w:r>
              <w:t>Placed Elsewhere</w:t>
            </w:r>
          </w:p>
        </w:tc>
        <w:tc>
          <w:tcPr>
            <w:tcW w:w="2747" w:type="dxa"/>
            <w:vAlign w:val="bottom"/>
          </w:tcPr>
          <w:p w14:paraId="20293BDC" w14:textId="3655B2DA" w:rsidR="00C027EC" w:rsidRPr="00C027EC" w:rsidRDefault="00C027EC" w:rsidP="00C027EC">
            <w:pPr>
              <w:spacing w:before="0" w:after="200" w:line="276" w:lineRule="auto"/>
              <w:jc w:val="center"/>
              <w:rPr>
                <w:rFonts w:cs="Arial"/>
                <w:szCs w:val="24"/>
              </w:rPr>
            </w:pPr>
            <w:r w:rsidRPr="00C027EC">
              <w:rPr>
                <w:rFonts w:cs="Arial"/>
                <w:color w:val="000000"/>
                <w:szCs w:val="24"/>
              </w:rPr>
              <w:t>139</w:t>
            </w:r>
          </w:p>
        </w:tc>
        <w:tc>
          <w:tcPr>
            <w:tcW w:w="2747" w:type="dxa"/>
            <w:vAlign w:val="bottom"/>
          </w:tcPr>
          <w:p w14:paraId="68EA2230" w14:textId="78F9B313" w:rsidR="00C027EC" w:rsidRPr="00C027EC" w:rsidRDefault="00C027EC" w:rsidP="00C027EC">
            <w:pPr>
              <w:spacing w:before="0" w:after="200" w:line="276" w:lineRule="auto"/>
              <w:jc w:val="center"/>
              <w:rPr>
                <w:rFonts w:cs="Arial"/>
                <w:szCs w:val="24"/>
              </w:rPr>
            </w:pPr>
            <w:r w:rsidRPr="00C027EC">
              <w:rPr>
                <w:rFonts w:cs="Arial"/>
                <w:color w:val="000000"/>
                <w:szCs w:val="24"/>
              </w:rPr>
              <w:t>39.05%</w:t>
            </w:r>
          </w:p>
        </w:tc>
      </w:tr>
      <w:tr w:rsidR="00C027EC" w14:paraId="189EE599" w14:textId="77777777" w:rsidTr="004C0573">
        <w:tc>
          <w:tcPr>
            <w:tcW w:w="3964" w:type="dxa"/>
          </w:tcPr>
          <w:p w14:paraId="07D59998" w14:textId="77777777" w:rsidR="00C027EC" w:rsidRDefault="00C027EC" w:rsidP="00C027EC">
            <w:pPr>
              <w:spacing w:before="0" w:after="200" w:line="276" w:lineRule="auto"/>
            </w:pPr>
            <w:r>
              <w:t>Declined</w:t>
            </w:r>
          </w:p>
        </w:tc>
        <w:tc>
          <w:tcPr>
            <w:tcW w:w="2747" w:type="dxa"/>
            <w:vAlign w:val="bottom"/>
          </w:tcPr>
          <w:p w14:paraId="287204C2" w14:textId="2C097FE3" w:rsidR="00C027EC" w:rsidRPr="00C027EC" w:rsidRDefault="00C027EC" w:rsidP="00C027EC">
            <w:pPr>
              <w:spacing w:before="0" w:after="200" w:line="276" w:lineRule="auto"/>
              <w:jc w:val="center"/>
              <w:rPr>
                <w:rFonts w:cs="Arial"/>
                <w:szCs w:val="24"/>
              </w:rPr>
            </w:pPr>
            <w:r w:rsidRPr="00C027EC">
              <w:rPr>
                <w:rFonts w:cs="Arial"/>
                <w:color w:val="000000"/>
                <w:szCs w:val="24"/>
              </w:rPr>
              <w:t>8</w:t>
            </w:r>
          </w:p>
        </w:tc>
        <w:tc>
          <w:tcPr>
            <w:tcW w:w="2747" w:type="dxa"/>
            <w:vAlign w:val="bottom"/>
          </w:tcPr>
          <w:p w14:paraId="392D4438" w14:textId="42237A5E" w:rsidR="00C027EC" w:rsidRPr="00C027EC" w:rsidRDefault="00C027EC" w:rsidP="00C027EC">
            <w:pPr>
              <w:spacing w:before="0" w:after="200" w:line="276" w:lineRule="auto"/>
              <w:jc w:val="center"/>
              <w:rPr>
                <w:rFonts w:cs="Arial"/>
                <w:szCs w:val="24"/>
              </w:rPr>
            </w:pPr>
            <w:r w:rsidRPr="00C027EC">
              <w:rPr>
                <w:rFonts w:cs="Arial"/>
                <w:color w:val="000000"/>
                <w:szCs w:val="24"/>
              </w:rPr>
              <w:t>2.25%</w:t>
            </w:r>
          </w:p>
        </w:tc>
      </w:tr>
      <w:tr w:rsidR="00C027EC" w14:paraId="195B9A15" w14:textId="77777777" w:rsidTr="004C0573">
        <w:tc>
          <w:tcPr>
            <w:tcW w:w="3964" w:type="dxa"/>
          </w:tcPr>
          <w:p w14:paraId="22DADC7A" w14:textId="77777777" w:rsidR="00C027EC" w:rsidRDefault="00C027EC" w:rsidP="00C027EC">
            <w:pPr>
              <w:spacing w:before="0" w:after="200" w:line="276" w:lineRule="auto"/>
            </w:pPr>
            <w:r>
              <w:t>TOTAL</w:t>
            </w:r>
          </w:p>
        </w:tc>
        <w:tc>
          <w:tcPr>
            <w:tcW w:w="2747" w:type="dxa"/>
            <w:vAlign w:val="bottom"/>
          </w:tcPr>
          <w:p w14:paraId="4148E925" w14:textId="1A14650E" w:rsidR="00C027EC" w:rsidRPr="00C027EC" w:rsidRDefault="00C027EC" w:rsidP="00C027EC">
            <w:pPr>
              <w:spacing w:before="0" w:after="200" w:line="276" w:lineRule="auto"/>
              <w:jc w:val="center"/>
              <w:rPr>
                <w:rFonts w:cs="Arial"/>
                <w:szCs w:val="24"/>
              </w:rPr>
            </w:pPr>
            <w:r w:rsidRPr="00C027EC">
              <w:rPr>
                <w:rFonts w:cs="Arial"/>
                <w:color w:val="000000"/>
                <w:szCs w:val="24"/>
              </w:rPr>
              <w:t>356</w:t>
            </w:r>
          </w:p>
        </w:tc>
        <w:tc>
          <w:tcPr>
            <w:tcW w:w="2747" w:type="dxa"/>
            <w:vAlign w:val="bottom"/>
          </w:tcPr>
          <w:p w14:paraId="25250C75" w14:textId="09C87C2A" w:rsidR="00C027EC" w:rsidRPr="00C027EC" w:rsidRDefault="00C027EC" w:rsidP="00C027EC">
            <w:pPr>
              <w:spacing w:before="0" w:after="200" w:line="276" w:lineRule="auto"/>
              <w:jc w:val="center"/>
              <w:rPr>
                <w:rFonts w:cs="Arial"/>
                <w:szCs w:val="24"/>
              </w:rPr>
            </w:pPr>
            <w:r w:rsidRPr="00C027EC">
              <w:rPr>
                <w:rFonts w:cs="Arial"/>
                <w:color w:val="000000"/>
                <w:szCs w:val="24"/>
              </w:rPr>
              <w:t>100%</w:t>
            </w:r>
          </w:p>
        </w:tc>
      </w:tr>
    </w:tbl>
    <w:p w14:paraId="77CC9222" w14:textId="77777777" w:rsidR="005F630C" w:rsidRDefault="005F630C">
      <w:pPr>
        <w:spacing w:before="0" w:after="200" w:line="276" w:lineRule="auto"/>
      </w:pPr>
    </w:p>
    <w:p w14:paraId="772FE14C" w14:textId="5B3E8B7B" w:rsidR="005F630C" w:rsidRDefault="007C70CA">
      <w:pPr>
        <w:spacing w:before="0" w:after="200" w:line="276" w:lineRule="auto"/>
      </w:pPr>
      <w:r>
        <w:t xml:space="preserve">Table 4: </w:t>
      </w:r>
      <w:r w:rsidR="005F630C">
        <w:t xml:space="preserve">Enrolment of applicants who signed up for Access Reading when invited but </w:t>
      </w:r>
      <w:r w:rsidR="005F630C">
        <w:rPr>
          <w:b/>
          <w:bCs/>
        </w:rPr>
        <w:t>did not attend</w:t>
      </w:r>
      <w:r w:rsidR="005F630C">
        <w:t xml:space="preserve"> the in-person event</w:t>
      </w:r>
    </w:p>
    <w:tbl>
      <w:tblPr>
        <w:tblStyle w:val="TableGrid"/>
        <w:tblW w:w="0" w:type="auto"/>
        <w:tblLook w:val="04A0" w:firstRow="1" w:lastRow="0" w:firstColumn="1" w:lastColumn="0" w:noHBand="0" w:noVBand="1"/>
      </w:tblPr>
      <w:tblGrid>
        <w:gridCol w:w="3964"/>
        <w:gridCol w:w="2747"/>
        <w:gridCol w:w="2747"/>
      </w:tblGrid>
      <w:tr w:rsidR="005F630C" w14:paraId="70F16833" w14:textId="77777777" w:rsidTr="004C0573">
        <w:tc>
          <w:tcPr>
            <w:tcW w:w="3964" w:type="dxa"/>
          </w:tcPr>
          <w:p w14:paraId="1686F651" w14:textId="77777777" w:rsidR="005F630C" w:rsidRPr="00A54F01" w:rsidRDefault="005F630C" w:rsidP="004C0573">
            <w:pPr>
              <w:spacing w:before="0" w:after="200" w:line="276" w:lineRule="auto"/>
              <w:rPr>
                <w:b/>
                <w:bCs/>
              </w:rPr>
            </w:pPr>
            <w:r w:rsidRPr="00A54F01">
              <w:rPr>
                <w:b/>
                <w:bCs/>
              </w:rPr>
              <w:t>Status</w:t>
            </w:r>
          </w:p>
        </w:tc>
        <w:tc>
          <w:tcPr>
            <w:tcW w:w="2747" w:type="dxa"/>
          </w:tcPr>
          <w:p w14:paraId="52A43C78" w14:textId="77777777" w:rsidR="005F630C" w:rsidRPr="00A54F01" w:rsidRDefault="005F630C" w:rsidP="004C0573">
            <w:pPr>
              <w:spacing w:before="0" w:after="200" w:line="276" w:lineRule="auto"/>
              <w:jc w:val="center"/>
              <w:rPr>
                <w:b/>
                <w:bCs/>
              </w:rPr>
            </w:pPr>
            <w:r w:rsidRPr="00A54F01">
              <w:rPr>
                <w:b/>
                <w:bCs/>
              </w:rPr>
              <w:t>Number of Applicants</w:t>
            </w:r>
          </w:p>
        </w:tc>
        <w:tc>
          <w:tcPr>
            <w:tcW w:w="2747" w:type="dxa"/>
          </w:tcPr>
          <w:p w14:paraId="01B0A688" w14:textId="77777777" w:rsidR="005F630C" w:rsidRPr="00A54F01" w:rsidRDefault="005F630C" w:rsidP="004C0573">
            <w:pPr>
              <w:spacing w:before="0" w:after="200" w:line="276" w:lineRule="auto"/>
              <w:jc w:val="center"/>
              <w:rPr>
                <w:b/>
                <w:bCs/>
              </w:rPr>
            </w:pPr>
            <w:r w:rsidRPr="00A54F01">
              <w:rPr>
                <w:b/>
                <w:bCs/>
              </w:rPr>
              <w:t>Percentage</w:t>
            </w:r>
          </w:p>
        </w:tc>
      </w:tr>
      <w:tr w:rsidR="0076068F" w14:paraId="067E8ECA" w14:textId="77777777" w:rsidTr="004C0573">
        <w:tc>
          <w:tcPr>
            <w:tcW w:w="3964" w:type="dxa"/>
          </w:tcPr>
          <w:p w14:paraId="78376097" w14:textId="77777777" w:rsidR="0076068F" w:rsidRDefault="0076068F" w:rsidP="0076068F">
            <w:pPr>
              <w:spacing w:before="0" w:after="200" w:line="276" w:lineRule="auto"/>
            </w:pPr>
            <w:r>
              <w:t>Enrolled at UoR 2025/26</w:t>
            </w:r>
          </w:p>
        </w:tc>
        <w:tc>
          <w:tcPr>
            <w:tcW w:w="2747" w:type="dxa"/>
            <w:vAlign w:val="bottom"/>
          </w:tcPr>
          <w:p w14:paraId="7F817F8E" w14:textId="0CE22628" w:rsidR="0076068F" w:rsidRPr="0076068F" w:rsidRDefault="0076068F" w:rsidP="0076068F">
            <w:pPr>
              <w:spacing w:before="0" w:after="200" w:line="276" w:lineRule="auto"/>
              <w:jc w:val="center"/>
              <w:rPr>
                <w:rFonts w:cs="Arial"/>
                <w:szCs w:val="24"/>
              </w:rPr>
            </w:pPr>
            <w:r w:rsidRPr="0076068F">
              <w:rPr>
                <w:rFonts w:cs="Arial"/>
                <w:color w:val="000000"/>
                <w:szCs w:val="24"/>
              </w:rPr>
              <w:t>103</w:t>
            </w:r>
          </w:p>
        </w:tc>
        <w:tc>
          <w:tcPr>
            <w:tcW w:w="2747" w:type="dxa"/>
            <w:vAlign w:val="bottom"/>
          </w:tcPr>
          <w:p w14:paraId="260770C9" w14:textId="235AAFFD" w:rsidR="0076068F" w:rsidRPr="0076068F" w:rsidRDefault="0076068F" w:rsidP="0076068F">
            <w:pPr>
              <w:spacing w:before="0" w:after="200" w:line="276" w:lineRule="auto"/>
              <w:jc w:val="center"/>
              <w:rPr>
                <w:rFonts w:cs="Arial"/>
                <w:szCs w:val="24"/>
              </w:rPr>
            </w:pPr>
            <w:r w:rsidRPr="0076068F">
              <w:rPr>
                <w:rFonts w:cs="Arial"/>
                <w:color w:val="000000"/>
                <w:szCs w:val="24"/>
              </w:rPr>
              <w:t>48.36%</w:t>
            </w:r>
          </w:p>
        </w:tc>
      </w:tr>
      <w:tr w:rsidR="0076068F" w14:paraId="0A87E9E6" w14:textId="77777777" w:rsidTr="004C0573">
        <w:tc>
          <w:tcPr>
            <w:tcW w:w="3964" w:type="dxa"/>
          </w:tcPr>
          <w:p w14:paraId="40387E99" w14:textId="77777777" w:rsidR="0076068F" w:rsidRDefault="0076068F" w:rsidP="0076068F">
            <w:pPr>
              <w:spacing w:before="0" w:after="200" w:line="276" w:lineRule="auto"/>
            </w:pPr>
            <w:r>
              <w:t>Deferred entry at UoR to 2026/27</w:t>
            </w:r>
          </w:p>
        </w:tc>
        <w:tc>
          <w:tcPr>
            <w:tcW w:w="2747" w:type="dxa"/>
            <w:vAlign w:val="bottom"/>
          </w:tcPr>
          <w:p w14:paraId="525D9BA8" w14:textId="49A2B010" w:rsidR="0076068F" w:rsidRPr="0076068F" w:rsidRDefault="0076068F" w:rsidP="0076068F">
            <w:pPr>
              <w:spacing w:before="0" w:after="200" w:line="276" w:lineRule="auto"/>
              <w:jc w:val="center"/>
              <w:rPr>
                <w:rFonts w:cs="Arial"/>
                <w:szCs w:val="24"/>
              </w:rPr>
            </w:pPr>
            <w:r w:rsidRPr="0076068F">
              <w:rPr>
                <w:rFonts w:cs="Arial"/>
                <w:color w:val="000000"/>
                <w:szCs w:val="24"/>
              </w:rPr>
              <w:t>8</w:t>
            </w:r>
          </w:p>
        </w:tc>
        <w:tc>
          <w:tcPr>
            <w:tcW w:w="2747" w:type="dxa"/>
            <w:vAlign w:val="bottom"/>
          </w:tcPr>
          <w:p w14:paraId="6C296155" w14:textId="70626394" w:rsidR="0076068F" w:rsidRPr="0076068F" w:rsidRDefault="0076068F" w:rsidP="0076068F">
            <w:pPr>
              <w:spacing w:before="0" w:after="200" w:line="276" w:lineRule="auto"/>
              <w:jc w:val="center"/>
              <w:rPr>
                <w:rFonts w:cs="Arial"/>
                <w:szCs w:val="24"/>
              </w:rPr>
            </w:pPr>
            <w:r w:rsidRPr="0076068F">
              <w:rPr>
                <w:rFonts w:cs="Arial"/>
                <w:color w:val="000000"/>
                <w:szCs w:val="24"/>
              </w:rPr>
              <w:t>3.76%</w:t>
            </w:r>
          </w:p>
        </w:tc>
      </w:tr>
      <w:tr w:rsidR="0076068F" w14:paraId="1FAC856B" w14:textId="77777777" w:rsidTr="004C0573">
        <w:tc>
          <w:tcPr>
            <w:tcW w:w="3964" w:type="dxa"/>
          </w:tcPr>
          <w:p w14:paraId="1B24E550" w14:textId="77777777" w:rsidR="0076068F" w:rsidRDefault="0076068F" w:rsidP="0076068F">
            <w:pPr>
              <w:spacing w:before="0" w:after="200" w:line="276" w:lineRule="auto"/>
            </w:pPr>
            <w:r>
              <w:t>Placed Elsewhere</w:t>
            </w:r>
          </w:p>
        </w:tc>
        <w:tc>
          <w:tcPr>
            <w:tcW w:w="2747" w:type="dxa"/>
            <w:vAlign w:val="bottom"/>
          </w:tcPr>
          <w:p w14:paraId="717DEFD9" w14:textId="6A5D79A4" w:rsidR="0076068F" w:rsidRPr="0076068F" w:rsidRDefault="0076068F" w:rsidP="0076068F">
            <w:pPr>
              <w:spacing w:before="0" w:after="200" w:line="276" w:lineRule="auto"/>
              <w:jc w:val="center"/>
              <w:rPr>
                <w:rFonts w:cs="Arial"/>
                <w:szCs w:val="24"/>
              </w:rPr>
            </w:pPr>
            <w:r w:rsidRPr="0076068F">
              <w:rPr>
                <w:rFonts w:cs="Arial"/>
                <w:color w:val="000000"/>
                <w:szCs w:val="24"/>
              </w:rPr>
              <w:t>98</w:t>
            </w:r>
          </w:p>
        </w:tc>
        <w:tc>
          <w:tcPr>
            <w:tcW w:w="2747" w:type="dxa"/>
            <w:vAlign w:val="bottom"/>
          </w:tcPr>
          <w:p w14:paraId="0767441B" w14:textId="5437820C" w:rsidR="0076068F" w:rsidRPr="0076068F" w:rsidRDefault="0076068F" w:rsidP="0076068F">
            <w:pPr>
              <w:spacing w:before="0" w:after="200" w:line="276" w:lineRule="auto"/>
              <w:jc w:val="center"/>
              <w:rPr>
                <w:rFonts w:cs="Arial"/>
                <w:szCs w:val="24"/>
              </w:rPr>
            </w:pPr>
            <w:r w:rsidRPr="0076068F">
              <w:rPr>
                <w:rFonts w:cs="Arial"/>
                <w:color w:val="000000"/>
                <w:szCs w:val="24"/>
              </w:rPr>
              <w:t>46.00%</w:t>
            </w:r>
          </w:p>
        </w:tc>
      </w:tr>
      <w:tr w:rsidR="0076068F" w14:paraId="082C6399" w14:textId="77777777" w:rsidTr="004C0573">
        <w:tc>
          <w:tcPr>
            <w:tcW w:w="3964" w:type="dxa"/>
          </w:tcPr>
          <w:p w14:paraId="388729E5" w14:textId="77777777" w:rsidR="0076068F" w:rsidRDefault="0076068F" w:rsidP="0076068F">
            <w:pPr>
              <w:spacing w:before="0" w:after="200" w:line="276" w:lineRule="auto"/>
            </w:pPr>
            <w:r>
              <w:t>Declined</w:t>
            </w:r>
          </w:p>
        </w:tc>
        <w:tc>
          <w:tcPr>
            <w:tcW w:w="2747" w:type="dxa"/>
            <w:vAlign w:val="bottom"/>
          </w:tcPr>
          <w:p w14:paraId="345F0FBB" w14:textId="38348CB0" w:rsidR="0076068F" w:rsidRPr="0076068F" w:rsidRDefault="0076068F" w:rsidP="0076068F">
            <w:pPr>
              <w:spacing w:before="0" w:after="200" w:line="276" w:lineRule="auto"/>
              <w:jc w:val="center"/>
              <w:rPr>
                <w:rFonts w:cs="Arial"/>
                <w:szCs w:val="24"/>
              </w:rPr>
            </w:pPr>
            <w:r w:rsidRPr="0076068F">
              <w:rPr>
                <w:rFonts w:cs="Arial"/>
                <w:color w:val="000000"/>
                <w:szCs w:val="24"/>
              </w:rPr>
              <w:t>4</w:t>
            </w:r>
          </w:p>
        </w:tc>
        <w:tc>
          <w:tcPr>
            <w:tcW w:w="2747" w:type="dxa"/>
            <w:vAlign w:val="bottom"/>
          </w:tcPr>
          <w:p w14:paraId="3DEB5519" w14:textId="28A9E58F" w:rsidR="0076068F" w:rsidRPr="0076068F" w:rsidRDefault="0076068F" w:rsidP="0076068F">
            <w:pPr>
              <w:spacing w:before="0" w:after="200" w:line="276" w:lineRule="auto"/>
              <w:jc w:val="center"/>
              <w:rPr>
                <w:rFonts w:cs="Arial"/>
                <w:szCs w:val="24"/>
              </w:rPr>
            </w:pPr>
            <w:r w:rsidRPr="0076068F">
              <w:rPr>
                <w:rFonts w:cs="Arial"/>
                <w:color w:val="000000"/>
                <w:szCs w:val="24"/>
              </w:rPr>
              <w:t>1.88%</w:t>
            </w:r>
          </w:p>
        </w:tc>
      </w:tr>
      <w:tr w:rsidR="0076068F" w14:paraId="4DF71869" w14:textId="77777777" w:rsidTr="004C0573">
        <w:tc>
          <w:tcPr>
            <w:tcW w:w="3964" w:type="dxa"/>
          </w:tcPr>
          <w:p w14:paraId="29F58AF2" w14:textId="77777777" w:rsidR="0076068F" w:rsidRDefault="0076068F" w:rsidP="0076068F">
            <w:pPr>
              <w:spacing w:before="0" w:after="200" w:line="276" w:lineRule="auto"/>
            </w:pPr>
            <w:r>
              <w:t>TOTAL</w:t>
            </w:r>
          </w:p>
        </w:tc>
        <w:tc>
          <w:tcPr>
            <w:tcW w:w="2747" w:type="dxa"/>
            <w:vAlign w:val="bottom"/>
          </w:tcPr>
          <w:p w14:paraId="4BE03FC1" w14:textId="3E352D64" w:rsidR="0076068F" w:rsidRPr="0076068F" w:rsidRDefault="0076068F" w:rsidP="0076068F">
            <w:pPr>
              <w:spacing w:before="0" w:after="200" w:line="276" w:lineRule="auto"/>
              <w:jc w:val="center"/>
              <w:rPr>
                <w:rFonts w:cs="Arial"/>
                <w:szCs w:val="24"/>
              </w:rPr>
            </w:pPr>
            <w:r w:rsidRPr="0076068F">
              <w:rPr>
                <w:rFonts w:cs="Arial"/>
                <w:color w:val="000000"/>
                <w:szCs w:val="24"/>
              </w:rPr>
              <w:t>213</w:t>
            </w:r>
          </w:p>
        </w:tc>
        <w:tc>
          <w:tcPr>
            <w:tcW w:w="2747" w:type="dxa"/>
            <w:vAlign w:val="bottom"/>
          </w:tcPr>
          <w:p w14:paraId="74FAA0C8" w14:textId="419465D0" w:rsidR="0076068F" w:rsidRPr="0076068F" w:rsidRDefault="0076068F" w:rsidP="0076068F">
            <w:pPr>
              <w:spacing w:before="0" w:after="200" w:line="276" w:lineRule="auto"/>
              <w:jc w:val="center"/>
              <w:rPr>
                <w:rFonts w:cs="Arial"/>
                <w:szCs w:val="24"/>
              </w:rPr>
            </w:pPr>
            <w:r w:rsidRPr="0076068F">
              <w:rPr>
                <w:rFonts w:cs="Arial"/>
                <w:color w:val="000000"/>
                <w:szCs w:val="24"/>
              </w:rPr>
              <w:t>100%</w:t>
            </w:r>
          </w:p>
        </w:tc>
      </w:tr>
    </w:tbl>
    <w:p w14:paraId="07D6BD8C" w14:textId="77777777" w:rsidR="00BA0D08" w:rsidRDefault="00BA0D08">
      <w:pPr>
        <w:spacing w:before="0" w:after="200" w:line="276" w:lineRule="auto"/>
      </w:pPr>
    </w:p>
    <w:p w14:paraId="1A16F63D" w14:textId="0566FE83" w:rsidR="00BA0D08" w:rsidRDefault="007C70CA">
      <w:pPr>
        <w:spacing w:before="0" w:after="200" w:line="276" w:lineRule="auto"/>
      </w:pPr>
      <w:r>
        <w:t xml:space="preserve">Table 5: </w:t>
      </w:r>
      <w:r w:rsidR="00BA0D08">
        <w:t xml:space="preserve">Enrolment of applicants who signed up for Access Reading when invited and </w:t>
      </w:r>
      <w:r w:rsidR="00BA0D08">
        <w:rPr>
          <w:b/>
          <w:bCs/>
        </w:rPr>
        <w:t>did attend</w:t>
      </w:r>
      <w:r w:rsidR="00BA0D08">
        <w:t xml:space="preserve"> the in-person event</w:t>
      </w:r>
    </w:p>
    <w:tbl>
      <w:tblPr>
        <w:tblStyle w:val="TableGrid"/>
        <w:tblW w:w="0" w:type="auto"/>
        <w:tblLook w:val="04A0" w:firstRow="1" w:lastRow="0" w:firstColumn="1" w:lastColumn="0" w:noHBand="0" w:noVBand="1"/>
      </w:tblPr>
      <w:tblGrid>
        <w:gridCol w:w="3964"/>
        <w:gridCol w:w="2747"/>
        <w:gridCol w:w="2747"/>
      </w:tblGrid>
      <w:tr w:rsidR="00BA0D08" w14:paraId="1DD505A7" w14:textId="77777777" w:rsidTr="004C0573">
        <w:tc>
          <w:tcPr>
            <w:tcW w:w="3964" w:type="dxa"/>
          </w:tcPr>
          <w:p w14:paraId="0020F05D" w14:textId="77777777" w:rsidR="00BA0D08" w:rsidRPr="00A54F01" w:rsidRDefault="00BA0D08" w:rsidP="004C0573">
            <w:pPr>
              <w:spacing w:before="0" w:after="200" w:line="276" w:lineRule="auto"/>
              <w:rPr>
                <w:b/>
                <w:bCs/>
              </w:rPr>
            </w:pPr>
            <w:r w:rsidRPr="00A54F01">
              <w:rPr>
                <w:b/>
                <w:bCs/>
              </w:rPr>
              <w:t>Status</w:t>
            </w:r>
          </w:p>
        </w:tc>
        <w:tc>
          <w:tcPr>
            <w:tcW w:w="2747" w:type="dxa"/>
          </w:tcPr>
          <w:p w14:paraId="0AB1CF4B" w14:textId="77777777" w:rsidR="00BA0D08" w:rsidRPr="00A54F01" w:rsidRDefault="00BA0D08" w:rsidP="004C0573">
            <w:pPr>
              <w:spacing w:before="0" w:after="200" w:line="276" w:lineRule="auto"/>
              <w:jc w:val="center"/>
              <w:rPr>
                <w:b/>
                <w:bCs/>
              </w:rPr>
            </w:pPr>
            <w:r w:rsidRPr="00A54F01">
              <w:rPr>
                <w:b/>
                <w:bCs/>
              </w:rPr>
              <w:t>Number of Applicants</w:t>
            </w:r>
          </w:p>
        </w:tc>
        <w:tc>
          <w:tcPr>
            <w:tcW w:w="2747" w:type="dxa"/>
          </w:tcPr>
          <w:p w14:paraId="626A29DE" w14:textId="77777777" w:rsidR="00BA0D08" w:rsidRPr="00A54F01" w:rsidRDefault="00BA0D08" w:rsidP="004C0573">
            <w:pPr>
              <w:spacing w:before="0" w:after="200" w:line="276" w:lineRule="auto"/>
              <w:jc w:val="center"/>
              <w:rPr>
                <w:b/>
                <w:bCs/>
              </w:rPr>
            </w:pPr>
            <w:r w:rsidRPr="00A54F01">
              <w:rPr>
                <w:b/>
                <w:bCs/>
              </w:rPr>
              <w:t>Percentage</w:t>
            </w:r>
          </w:p>
        </w:tc>
      </w:tr>
      <w:tr w:rsidR="00475BA1" w14:paraId="03EB1F75" w14:textId="77777777" w:rsidTr="004C0573">
        <w:tc>
          <w:tcPr>
            <w:tcW w:w="3964" w:type="dxa"/>
          </w:tcPr>
          <w:p w14:paraId="1046A453" w14:textId="77777777" w:rsidR="00475BA1" w:rsidRDefault="00475BA1" w:rsidP="00475BA1">
            <w:pPr>
              <w:spacing w:before="0" w:after="200" w:line="276" w:lineRule="auto"/>
            </w:pPr>
            <w:r>
              <w:t>Enrolled at UoR 2025/26</w:t>
            </w:r>
          </w:p>
        </w:tc>
        <w:tc>
          <w:tcPr>
            <w:tcW w:w="2747" w:type="dxa"/>
            <w:vAlign w:val="bottom"/>
          </w:tcPr>
          <w:p w14:paraId="011AB0AA" w14:textId="1102CB8E" w:rsidR="00475BA1" w:rsidRPr="00475BA1" w:rsidRDefault="00475BA1" w:rsidP="00475BA1">
            <w:pPr>
              <w:spacing w:before="0" w:after="200" w:line="276" w:lineRule="auto"/>
              <w:jc w:val="center"/>
              <w:rPr>
                <w:rFonts w:cs="Arial"/>
                <w:szCs w:val="24"/>
              </w:rPr>
            </w:pPr>
            <w:r w:rsidRPr="00475BA1">
              <w:rPr>
                <w:rFonts w:cs="Arial"/>
                <w:color w:val="000000"/>
                <w:szCs w:val="24"/>
              </w:rPr>
              <w:t>92</w:t>
            </w:r>
          </w:p>
        </w:tc>
        <w:tc>
          <w:tcPr>
            <w:tcW w:w="2747" w:type="dxa"/>
            <w:vAlign w:val="bottom"/>
          </w:tcPr>
          <w:p w14:paraId="77F8192F" w14:textId="61832BF1" w:rsidR="00475BA1" w:rsidRPr="00475BA1" w:rsidRDefault="00475BA1" w:rsidP="00475BA1">
            <w:pPr>
              <w:spacing w:before="0" w:after="200" w:line="276" w:lineRule="auto"/>
              <w:jc w:val="center"/>
              <w:rPr>
                <w:rFonts w:cs="Arial"/>
                <w:szCs w:val="24"/>
              </w:rPr>
            </w:pPr>
            <w:r w:rsidRPr="00475BA1">
              <w:rPr>
                <w:rFonts w:cs="Arial"/>
                <w:color w:val="000000"/>
                <w:szCs w:val="24"/>
              </w:rPr>
              <w:t>64.34%</w:t>
            </w:r>
          </w:p>
        </w:tc>
      </w:tr>
      <w:tr w:rsidR="00475BA1" w14:paraId="74A537D4" w14:textId="77777777" w:rsidTr="004C0573">
        <w:tc>
          <w:tcPr>
            <w:tcW w:w="3964" w:type="dxa"/>
          </w:tcPr>
          <w:p w14:paraId="6E22826D" w14:textId="77777777" w:rsidR="00475BA1" w:rsidRDefault="00475BA1" w:rsidP="00475BA1">
            <w:pPr>
              <w:spacing w:before="0" w:after="200" w:line="276" w:lineRule="auto"/>
            </w:pPr>
            <w:r>
              <w:t>Deferred entry at UoR to 2026/27</w:t>
            </w:r>
          </w:p>
        </w:tc>
        <w:tc>
          <w:tcPr>
            <w:tcW w:w="2747" w:type="dxa"/>
            <w:vAlign w:val="bottom"/>
          </w:tcPr>
          <w:p w14:paraId="3CF26EE8" w14:textId="3C766A10" w:rsidR="00475BA1" w:rsidRPr="00475BA1" w:rsidRDefault="00475BA1" w:rsidP="00475BA1">
            <w:pPr>
              <w:spacing w:before="0" w:after="200" w:line="276" w:lineRule="auto"/>
              <w:jc w:val="center"/>
              <w:rPr>
                <w:rFonts w:cs="Arial"/>
                <w:szCs w:val="24"/>
              </w:rPr>
            </w:pPr>
            <w:r w:rsidRPr="00475BA1">
              <w:rPr>
                <w:rFonts w:cs="Arial"/>
                <w:color w:val="000000"/>
                <w:szCs w:val="24"/>
              </w:rPr>
              <w:t>7</w:t>
            </w:r>
          </w:p>
        </w:tc>
        <w:tc>
          <w:tcPr>
            <w:tcW w:w="2747" w:type="dxa"/>
            <w:vAlign w:val="bottom"/>
          </w:tcPr>
          <w:p w14:paraId="3B9595EB" w14:textId="2AB00CFC" w:rsidR="00475BA1" w:rsidRPr="00475BA1" w:rsidRDefault="00475BA1" w:rsidP="00475BA1">
            <w:pPr>
              <w:spacing w:before="0" w:after="200" w:line="276" w:lineRule="auto"/>
              <w:jc w:val="center"/>
              <w:rPr>
                <w:rFonts w:cs="Arial"/>
                <w:szCs w:val="24"/>
              </w:rPr>
            </w:pPr>
            <w:r w:rsidRPr="00475BA1">
              <w:rPr>
                <w:rFonts w:cs="Arial"/>
                <w:color w:val="000000"/>
                <w:szCs w:val="24"/>
              </w:rPr>
              <w:t>4.89%</w:t>
            </w:r>
          </w:p>
        </w:tc>
      </w:tr>
      <w:tr w:rsidR="00475BA1" w14:paraId="238B94DA" w14:textId="77777777" w:rsidTr="004C0573">
        <w:tc>
          <w:tcPr>
            <w:tcW w:w="3964" w:type="dxa"/>
          </w:tcPr>
          <w:p w14:paraId="015BA998" w14:textId="77777777" w:rsidR="00475BA1" w:rsidRDefault="00475BA1" w:rsidP="00475BA1">
            <w:pPr>
              <w:spacing w:before="0" w:after="200" w:line="276" w:lineRule="auto"/>
            </w:pPr>
            <w:r>
              <w:t>Placed Elsewhere</w:t>
            </w:r>
          </w:p>
        </w:tc>
        <w:tc>
          <w:tcPr>
            <w:tcW w:w="2747" w:type="dxa"/>
            <w:vAlign w:val="bottom"/>
          </w:tcPr>
          <w:p w14:paraId="3485DD26" w14:textId="6BE2F62F" w:rsidR="00475BA1" w:rsidRPr="00475BA1" w:rsidRDefault="00475BA1" w:rsidP="00475BA1">
            <w:pPr>
              <w:spacing w:before="0" w:after="200" w:line="276" w:lineRule="auto"/>
              <w:jc w:val="center"/>
              <w:rPr>
                <w:rFonts w:cs="Arial"/>
                <w:szCs w:val="24"/>
              </w:rPr>
            </w:pPr>
            <w:r w:rsidRPr="00475BA1">
              <w:rPr>
                <w:rFonts w:cs="Arial"/>
                <w:color w:val="000000"/>
                <w:szCs w:val="24"/>
              </w:rPr>
              <w:t>40</w:t>
            </w:r>
          </w:p>
        </w:tc>
        <w:tc>
          <w:tcPr>
            <w:tcW w:w="2747" w:type="dxa"/>
            <w:vAlign w:val="bottom"/>
          </w:tcPr>
          <w:p w14:paraId="0E81C5BD" w14:textId="389F084E" w:rsidR="00475BA1" w:rsidRPr="00475BA1" w:rsidRDefault="00475BA1" w:rsidP="00475BA1">
            <w:pPr>
              <w:spacing w:before="0" w:after="200" w:line="276" w:lineRule="auto"/>
              <w:jc w:val="center"/>
              <w:rPr>
                <w:rFonts w:cs="Arial"/>
                <w:szCs w:val="24"/>
              </w:rPr>
            </w:pPr>
            <w:r w:rsidRPr="00475BA1">
              <w:rPr>
                <w:rFonts w:cs="Arial"/>
                <w:color w:val="000000"/>
                <w:szCs w:val="24"/>
              </w:rPr>
              <w:t>27.97%</w:t>
            </w:r>
          </w:p>
        </w:tc>
      </w:tr>
      <w:tr w:rsidR="00475BA1" w14:paraId="42D18E74" w14:textId="77777777" w:rsidTr="004C0573">
        <w:tc>
          <w:tcPr>
            <w:tcW w:w="3964" w:type="dxa"/>
          </w:tcPr>
          <w:p w14:paraId="3CDA3F55" w14:textId="77777777" w:rsidR="00475BA1" w:rsidRDefault="00475BA1" w:rsidP="00475BA1">
            <w:pPr>
              <w:spacing w:before="0" w:after="200" w:line="276" w:lineRule="auto"/>
            </w:pPr>
            <w:r>
              <w:t>Declined</w:t>
            </w:r>
          </w:p>
        </w:tc>
        <w:tc>
          <w:tcPr>
            <w:tcW w:w="2747" w:type="dxa"/>
            <w:vAlign w:val="bottom"/>
          </w:tcPr>
          <w:p w14:paraId="1BBC70B1" w14:textId="6A481C29" w:rsidR="00475BA1" w:rsidRPr="00475BA1" w:rsidRDefault="00475BA1" w:rsidP="00475BA1">
            <w:pPr>
              <w:spacing w:before="0" w:after="200" w:line="276" w:lineRule="auto"/>
              <w:jc w:val="center"/>
              <w:rPr>
                <w:rFonts w:cs="Arial"/>
                <w:szCs w:val="24"/>
              </w:rPr>
            </w:pPr>
            <w:r w:rsidRPr="00475BA1">
              <w:rPr>
                <w:rFonts w:cs="Arial"/>
                <w:color w:val="000000"/>
                <w:szCs w:val="24"/>
              </w:rPr>
              <w:t>4</w:t>
            </w:r>
          </w:p>
        </w:tc>
        <w:tc>
          <w:tcPr>
            <w:tcW w:w="2747" w:type="dxa"/>
            <w:vAlign w:val="bottom"/>
          </w:tcPr>
          <w:p w14:paraId="273BF923" w14:textId="580CE8F3" w:rsidR="00475BA1" w:rsidRPr="00475BA1" w:rsidRDefault="00475BA1" w:rsidP="00475BA1">
            <w:pPr>
              <w:spacing w:before="0" w:after="200" w:line="276" w:lineRule="auto"/>
              <w:jc w:val="center"/>
              <w:rPr>
                <w:rFonts w:cs="Arial"/>
                <w:szCs w:val="24"/>
              </w:rPr>
            </w:pPr>
            <w:r w:rsidRPr="00475BA1">
              <w:rPr>
                <w:rFonts w:cs="Arial"/>
                <w:color w:val="000000"/>
                <w:szCs w:val="24"/>
              </w:rPr>
              <w:t>2.80%</w:t>
            </w:r>
          </w:p>
        </w:tc>
      </w:tr>
      <w:tr w:rsidR="00475BA1" w14:paraId="15A9F9EE" w14:textId="77777777" w:rsidTr="004C0573">
        <w:tc>
          <w:tcPr>
            <w:tcW w:w="3964" w:type="dxa"/>
          </w:tcPr>
          <w:p w14:paraId="7C52D0B4" w14:textId="77777777" w:rsidR="00475BA1" w:rsidRDefault="00475BA1" w:rsidP="00475BA1">
            <w:pPr>
              <w:spacing w:before="0" w:after="200" w:line="276" w:lineRule="auto"/>
            </w:pPr>
            <w:r>
              <w:t>TOTAL</w:t>
            </w:r>
          </w:p>
        </w:tc>
        <w:tc>
          <w:tcPr>
            <w:tcW w:w="2747" w:type="dxa"/>
            <w:vAlign w:val="bottom"/>
          </w:tcPr>
          <w:p w14:paraId="101D7E0F" w14:textId="0CB5B55E" w:rsidR="00475BA1" w:rsidRPr="00475BA1" w:rsidRDefault="00475BA1" w:rsidP="00475BA1">
            <w:pPr>
              <w:spacing w:before="0" w:after="200" w:line="276" w:lineRule="auto"/>
              <w:jc w:val="center"/>
              <w:rPr>
                <w:rFonts w:cs="Arial"/>
                <w:szCs w:val="24"/>
              </w:rPr>
            </w:pPr>
            <w:r w:rsidRPr="00475BA1">
              <w:rPr>
                <w:rFonts w:cs="Arial"/>
                <w:color w:val="000000"/>
                <w:szCs w:val="24"/>
              </w:rPr>
              <w:t>143</w:t>
            </w:r>
          </w:p>
        </w:tc>
        <w:tc>
          <w:tcPr>
            <w:tcW w:w="2747" w:type="dxa"/>
            <w:vAlign w:val="bottom"/>
          </w:tcPr>
          <w:p w14:paraId="5679B1E1" w14:textId="1BB13165" w:rsidR="00475BA1" w:rsidRPr="00475BA1" w:rsidRDefault="00475BA1" w:rsidP="00475BA1">
            <w:pPr>
              <w:spacing w:before="0" w:after="200" w:line="276" w:lineRule="auto"/>
              <w:jc w:val="center"/>
              <w:rPr>
                <w:rFonts w:cs="Arial"/>
                <w:szCs w:val="24"/>
              </w:rPr>
            </w:pPr>
            <w:r w:rsidRPr="00475BA1">
              <w:rPr>
                <w:rFonts w:cs="Arial"/>
                <w:color w:val="000000"/>
                <w:szCs w:val="24"/>
              </w:rPr>
              <w:t>100%</w:t>
            </w:r>
          </w:p>
        </w:tc>
      </w:tr>
    </w:tbl>
    <w:p w14:paraId="3BAA49A5" w14:textId="06C04B57" w:rsidR="004272DF" w:rsidRDefault="004272DF">
      <w:pPr>
        <w:spacing w:before="0" w:after="200" w:line="276" w:lineRule="auto"/>
      </w:pPr>
      <w:r>
        <w:br w:type="page"/>
      </w:r>
    </w:p>
    <w:p w14:paraId="101F4628" w14:textId="77777777" w:rsidR="00AD4141" w:rsidRDefault="00AD4141" w:rsidP="2E32142D">
      <w:pPr>
        <w:sectPr w:rsidR="00AD4141" w:rsidSect="00981988">
          <w:pgSz w:w="11906" w:h="16840"/>
          <w:pgMar w:top="1134" w:right="737" w:bottom="1134" w:left="1701" w:header="708" w:footer="708" w:gutter="0"/>
          <w:cols w:space="708"/>
          <w:titlePg/>
          <w:docGrid w:linePitch="360"/>
        </w:sectPr>
      </w:pPr>
    </w:p>
    <w:p w14:paraId="0AAF7F19" w14:textId="1E149671" w:rsidR="00AD4141" w:rsidRDefault="00514C15" w:rsidP="000E1558">
      <w:pPr>
        <w:pStyle w:val="Heading1"/>
      </w:pPr>
      <w:bookmarkStart w:id="23" w:name="_Toc227058303"/>
      <w:r>
        <w:lastRenderedPageBreak/>
        <w:t>Discussion of results</w:t>
      </w:r>
      <w:bookmarkEnd w:id="23"/>
    </w:p>
    <w:p w14:paraId="1887ADCF" w14:textId="3CDD52D7" w:rsidR="00514C15" w:rsidRPr="002F4904" w:rsidRDefault="008127AB" w:rsidP="002F4904">
      <w:pPr>
        <w:rPr>
          <w:b/>
          <w:bCs/>
          <w:sz w:val="28"/>
          <w:szCs w:val="24"/>
        </w:rPr>
      </w:pPr>
      <w:r w:rsidRPr="002F4904">
        <w:rPr>
          <w:b/>
          <w:bCs/>
          <w:sz w:val="28"/>
          <w:szCs w:val="24"/>
        </w:rPr>
        <w:t>Discussion of survey results</w:t>
      </w:r>
    </w:p>
    <w:p w14:paraId="1D4DD5E8" w14:textId="161E4E3E" w:rsidR="00F7770D" w:rsidRDefault="00576D00" w:rsidP="2E32142D">
      <w:pPr>
        <w:rPr>
          <w:lang w:eastAsia="en-US"/>
        </w:rPr>
      </w:pPr>
      <w:r>
        <w:rPr>
          <w:lang w:eastAsia="en-US"/>
        </w:rPr>
        <w:t xml:space="preserve">This section of the report </w:t>
      </w:r>
      <w:r w:rsidR="00F7770D">
        <w:rPr>
          <w:lang w:eastAsia="en-US"/>
        </w:rPr>
        <w:t>comments on</w:t>
      </w:r>
      <w:r w:rsidR="00315B60">
        <w:rPr>
          <w:lang w:eastAsia="en-US"/>
        </w:rPr>
        <w:t xml:space="preserve"> the survey results outlined in the results section, while providing context </w:t>
      </w:r>
      <w:r w:rsidR="00F7770D">
        <w:rPr>
          <w:lang w:eastAsia="en-US"/>
        </w:rPr>
        <w:t>both from the running of</w:t>
      </w:r>
      <w:r w:rsidR="00315B60">
        <w:rPr>
          <w:lang w:eastAsia="en-US"/>
        </w:rPr>
        <w:t xml:space="preserve"> the </w:t>
      </w:r>
      <w:r w:rsidR="00F7770D">
        <w:rPr>
          <w:lang w:eastAsia="en-US"/>
        </w:rPr>
        <w:t>intervention</w:t>
      </w:r>
      <w:r w:rsidR="00315B60">
        <w:rPr>
          <w:lang w:eastAsia="en-US"/>
        </w:rPr>
        <w:t xml:space="preserve"> and </w:t>
      </w:r>
      <w:r w:rsidR="00F7770D">
        <w:rPr>
          <w:lang w:eastAsia="en-US"/>
        </w:rPr>
        <w:t>qualitative</w:t>
      </w:r>
      <w:r w:rsidR="00315B60">
        <w:rPr>
          <w:lang w:eastAsia="en-US"/>
        </w:rPr>
        <w:t xml:space="preserve"> responses</w:t>
      </w:r>
      <w:r w:rsidR="00F7770D">
        <w:rPr>
          <w:lang w:eastAsia="en-US"/>
        </w:rPr>
        <w:t xml:space="preserve"> from</w:t>
      </w:r>
      <w:r w:rsidR="00315B60">
        <w:rPr>
          <w:lang w:eastAsia="en-US"/>
        </w:rPr>
        <w:t xml:space="preserve"> participants</w:t>
      </w:r>
      <w:r w:rsidR="00F7770D">
        <w:rPr>
          <w:lang w:eastAsia="en-US"/>
        </w:rPr>
        <w:t>.</w:t>
      </w:r>
    </w:p>
    <w:p w14:paraId="244D7F1D" w14:textId="77777777" w:rsidR="00AC1F73" w:rsidRPr="00576D00" w:rsidRDefault="00AC1F73" w:rsidP="2E32142D">
      <w:pPr>
        <w:rPr>
          <w:lang w:eastAsia="en-US"/>
        </w:rPr>
      </w:pPr>
    </w:p>
    <w:p w14:paraId="70FFBBA9" w14:textId="6B622B0E" w:rsidR="2E32142D" w:rsidRPr="00AC1F73" w:rsidRDefault="005E3A21" w:rsidP="2E32142D">
      <w:pPr>
        <w:rPr>
          <w:b/>
          <w:bCs/>
          <w:lang w:eastAsia="en-US"/>
        </w:rPr>
      </w:pPr>
      <w:r w:rsidRPr="00AC1F73">
        <w:rPr>
          <w:b/>
          <w:bCs/>
          <w:lang w:eastAsia="en-US"/>
        </w:rPr>
        <w:t>Knowledge</w:t>
      </w:r>
    </w:p>
    <w:p w14:paraId="094E20F7" w14:textId="1BAC7DAC" w:rsidR="005E3A21" w:rsidRDefault="00C128A5" w:rsidP="005E3A21">
      <w:r>
        <w:t xml:space="preserve">Results show that </w:t>
      </w:r>
      <w:r w:rsidR="00943C0C">
        <w:t xml:space="preserve">participants’ </w:t>
      </w:r>
      <w:r w:rsidR="00BB1DB0">
        <w:t>knowledge did grow throughout the programme (mean scores) but that this was not statistically significant</w:t>
      </w:r>
      <w:r w:rsidR="009D6876">
        <w:t xml:space="preserve">. </w:t>
      </w:r>
      <w:r w:rsidR="005E3A21">
        <w:t xml:space="preserve">While we see an increase in mean scores, we cannot confidently state that this was caused by the intervention. </w:t>
      </w:r>
    </w:p>
    <w:p w14:paraId="033434E8" w14:textId="1B201E9F" w:rsidR="003662BA" w:rsidRDefault="003662BA" w:rsidP="005E3A21">
      <w:r>
        <w:t>There is a possibility that participants were overconfident in their knowledge at the point of survey 1, as they were yet to encounter key new knowledge and thus did not know what they did not know. It is possible that this reduces the level of change reported in the survey, if they had overstated their knowledge in survey 1.</w:t>
      </w:r>
    </w:p>
    <w:p w14:paraId="3D31F8D2" w14:textId="44B43EC9" w:rsidR="00D91093" w:rsidRDefault="003662BA" w:rsidP="005E3A21">
      <w:r>
        <w:t>Yet w</w:t>
      </w:r>
      <w:r w:rsidR="005E3A21">
        <w:t xml:space="preserve">hen placed in the context of the programme, it could be argued that the programme lacked a focus on </w:t>
      </w:r>
      <w:r w:rsidR="00442760">
        <w:t xml:space="preserve">participants </w:t>
      </w:r>
      <w:r w:rsidR="005E3A21">
        <w:t xml:space="preserve">learning about how they </w:t>
      </w:r>
      <w:r w:rsidR="005A1E9B">
        <w:t xml:space="preserve">would </w:t>
      </w:r>
      <w:r w:rsidR="005E3A21">
        <w:t xml:space="preserve">study at university, instead prioritising focus on a sense of community and tackling barriers to progression for </w:t>
      </w:r>
      <w:r w:rsidR="00442760">
        <w:t>participants</w:t>
      </w:r>
      <w:r w:rsidR="005E3A21">
        <w:t xml:space="preserve">. The in-person event did allow </w:t>
      </w:r>
      <w:r w:rsidR="00442760">
        <w:t xml:space="preserve">participants </w:t>
      </w:r>
      <w:r w:rsidR="005E3A21">
        <w:t>to engage with this topic through their academic session</w:t>
      </w:r>
      <w:r w:rsidR="00D91093">
        <w:t xml:space="preserve"> and there was positive feedback from this:</w:t>
      </w:r>
    </w:p>
    <w:p w14:paraId="2B9F7CF8" w14:textId="0F482972" w:rsidR="00A35025" w:rsidRPr="00C645D4" w:rsidRDefault="00972FD4" w:rsidP="00654B8F">
      <w:pPr>
        <w:pStyle w:val="ListParagraph"/>
        <w:numPr>
          <w:ilvl w:val="0"/>
          <w:numId w:val="2"/>
        </w:numPr>
        <w:rPr>
          <w:i/>
          <w:iCs/>
          <w:sz w:val="22"/>
          <w:szCs w:val="20"/>
        </w:rPr>
      </w:pPr>
      <w:r w:rsidRPr="00C645D4">
        <w:rPr>
          <w:i/>
          <w:iCs/>
          <w:sz w:val="22"/>
          <w:szCs w:val="20"/>
        </w:rPr>
        <w:t>(It was helpful) Hearing from real students on our courses</w:t>
      </w:r>
    </w:p>
    <w:p w14:paraId="56B9D21B" w14:textId="684D15EF" w:rsidR="001739F4" w:rsidRPr="00C645D4" w:rsidRDefault="00925FE9" w:rsidP="00654B8F">
      <w:pPr>
        <w:pStyle w:val="ListParagraph"/>
        <w:numPr>
          <w:ilvl w:val="0"/>
          <w:numId w:val="2"/>
        </w:numPr>
        <w:rPr>
          <w:i/>
          <w:iCs/>
          <w:sz w:val="22"/>
          <w:szCs w:val="20"/>
        </w:rPr>
      </w:pPr>
      <w:r w:rsidRPr="00C645D4">
        <w:rPr>
          <w:i/>
          <w:iCs/>
          <w:sz w:val="22"/>
          <w:szCs w:val="20"/>
        </w:rPr>
        <w:t>We learnt more about lecture and teaching styles</w:t>
      </w:r>
    </w:p>
    <w:p w14:paraId="7B8B03D9" w14:textId="608E1DB5" w:rsidR="007145B2" w:rsidRPr="00C645D4" w:rsidRDefault="007145B2" w:rsidP="00654B8F">
      <w:pPr>
        <w:pStyle w:val="ListParagraph"/>
        <w:numPr>
          <w:ilvl w:val="0"/>
          <w:numId w:val="2"/>
        </w:numPr>
        <w:rPr>
          <w:i/>
          <w:iCs/>
          <w:sz w:val="22"/>
          <w:szCs w:val="20"/>
        </w:rPr>
      </w:pPr>
      <w:r w:rsidRPr="00C645D4">
        <w:rPr>
          <w:i/>
          <w:iCs/>
          <w:sz w:val="22"/>
          <w:szCs w:val="20"/>
        </w:rPr>
        <w:t>I found out information specific to my course and found out things about general information about the university</w:t>
      </w:r>
    </w:p>
    <w:p w14:paraId="642FADA7" w14:textId="4313D3FF" w:rsidR="003C3494" w:rsidRPr="00C645D4" w:rsidRDefault="003C3494" w:rsidP="00654B8F">
      <w:pPr>
        <w:pStyle w:val="ListParagraph"/>
        <w:numPr>
          <w:ilvl w:val="0"/>
          <w:numId w:val="2"/>
        </w:numPr>
        <w:rPr>
          <w:i/>
          <w:iCs/>
          <w:sz w:val="22"/>
          <w:szCs w:val="20"/>
        </w:rPr>
      </w:pPr>
      <w:r w:rsidRPr="00C645D4">
        <w:rPr>
          <w:i/>
          <w:iCs/>
          <w:sz w:val="22"/>
          <w:szCs w:val="20"/>
        </w:rPr>
        <w:t>Sessions helped me understand what is coming</w:t>
      </w:r>
    </w:p>
    <w:p w14:paraId="55C77E44" w14:textId="08FC4DDA" w:rsidR="00AA3F49" w:rsidRPr="00C645D4" w:rsidRDefault="00AA3F49" w:rsidP="00654B8F">
      <w:pPr>
        <w:pStyle w:val="ListParagraph"/>
        <w:numPr>
          <w:ilvl w:val="0"/>
          <w:numId w:val="2"/>
        </w:numPr>
        <w:rPr>
          <w:i/>
          <w:iCs/>
          <w:sz w:val="22"/>
          <w:szCs w:val="20"/>
        </w:rPr>
      </w:pPr>
      <w:r w:rsidRPr="00C645D4">
        <w:rPr>
          <w:i/>
          <w:iCs/>
          <w:sz w:val="22"/>
          <w:szCs w:val="20"/>
        </w:rPr>
        <w:t>No change needed (9)</w:t>
      </w:r>
      <w:r w:rsidR="0003462A" w:rsidRPr="00C645D4">
        <w:rPr>
          <w:i/>
          <w:iCs/>
          <w:sz w:val="22"/>
          <w:szCs w:val="20"/>
        </w:rPr>
        <w:t xml:space="preserve"> (in response to what could be improved)</w:t>
      </w:r>
    </w:p>
    <w:p w14:paraId="1553582F" w14:textId="193B63C8" w:rsidR="005E3A21" w:rsidRDefault="005E3A21" w:rsidP="005E3A21">
      <w:r>
        <w:t xml:space="preserve">However, this was only 60 minutes of the </w:t>
      </w:r>
      <w:r w:rsidR="00C645D4">
        <w:t>programme,</w:t>
      </w:r>
      <w:r>
        <w:t xml:space="preserve"> and not all </w:t>
      </w:r>
      <w:r w:rsidR="00943C0C">
        <w:t xml:space="preserve">participants </w:t>
      </w:r>
      <w:r>
        <w:t>were able to engage in a session of this nature, due to</w:t>
      </w:r>
      <w:r w:rsidR="00894A96">
        <w:t xml:space="preserve"> a</w:t>
      </w:r>
      <w:r>
        <w:t xml:space="preserve"> lack of</w:t>
      </w:r>
      <w:r w:rsidR="00894A96">
        <w:t xml:space="preserve"> subject</w:t>
      </w:r>
      <w:r>
        <w:t xml:space="preserve"> coverage from academics or ambassadors. This meant that a small number of </w:t>
      </w:r>
      <w:r w:rsidR="00943C0C">
        <w:t xml:space="preserve">participants </w:t>
      </w:r>
      <w:r>
        <w:t>instead had a tour in this slot, that while covering differences between school/college and university, was not a detailed overview in this area.</w:t>
      </w:r>
      <w:r w:rsidR="00E07FA8">
        <w:t xml:space="preserve"> </w:t>
      </w:r>
      <w:r w:rsidR="00943C0C">
        <w:t xml:space="preserve">Participants </w:t>
      </w:r>
      <w:r w:rsidR="00E07FA8">
        <w:t>gave feedback about how this area of the event could be improved:</w:t>
      </w:r>
    </w:p>
    <w:p w14:paraId="46C8F77F" w14:textId="2A42FD03" w:rsidR="00E07FA8" w:rsidRPr="00894A96" w:rsidRDefault="0071461C" w:rsidP="00654B8F">
      <w:pPr>
        <w:pStyle w:val="ListParagraph"/>
        <w:numPr>
          <w:ilvl w:val="0"/>
          <w:numId w:val="3"/>
        </w:numPr>
        <w:rPr>
          <w:i/>
          <w:iCs/>
          <w:sz w:val="22"/>
          <w:szCs w:val="20"/>
        </w:rPr>
      </w:pPr>
      <w:r w:rsidRPr="00894A96">
        <w:rPr>
          <w:i/>
          <w:iCs/>
          <w:sz w:val="22"/>
          <w:szCs w:val="20"/>
        </w:rPr>
        <w:t>More detail about first year</w:t>
      </w:r>
      <w:r w:rsidR="00027F76" w:rsidRPr="00894A96">
        <w:rPr>
          <w:i/>
          <w:iCs/>
          <w:sz w:val="22"/>
          <w:szCs w:val="20"/>
        </w:rPr>
        <w:t xml:space="preserve"> / modules / credits / assessments (12)</w:t>
      </w:r>
    </w:p>
    <w:p w14:paraId="18DA259E" w14:textId="273F0BB7" w:rsidR="00B32EEB" w:rsidRPr="00894A96" w:rsidRDefault="00B32EEB" w:rsidP="00654B8F">
      <w:pPr>
        <w:pStyle w:val="ListParagraph"/>
        <w:numPr>
          <w:ilvl w:val="0"/>
          <w:numId w:val="3"/>
        </w:numPr>
        <w:rPr>
          <w:i/>
          <w:iCs/>
          <w:sz w:val="22"/>
          <w:szCs w:val="20"/>
        </w:rPr>
      </w:pPr>
      <w:r w:rsidRPr="00894A96">
        <w:rPr>
          <w:i/>
          <w:iCs/>
          <w:sz w:val="22"/>
          <w:szCs w:val="20"/>
        </w:rPr>
        <w:t>Should be run by academic staff (</w:t>
      </w:r>
      <w:r w:rsidR="009006C4" w:rsidRPr="00894A96">
        <w:rPr>
          <w:i/>
          <w:iCs/>
          <w:sz w:val="22"/>
          <w:szCs w:val="20"/>
        </w:rPr>
        <w:t>6)</w:t>
      </w:r>
    </w:p>
    <w:p w14:paraId="0255DCA1" w14:textId="3E0C1323" w:rsidR="009006C4" w:rsidRPr="00894A96" w:rsidRDefault="009006C4" w:rsidP="00654B8F">
      <w:pPr>
        <w:pStyle w:val="ListParagraph"/>
        <w:numPr>
          <w:ilvl w:val="0"/>
          <w:numId w:val="3"/>
        </w:numPr>
        <w:rPr>
          <w:i/>
          <w:iCs/>
          <w:sz w:val="22"/>
          <w:szCs w:val="20"/>
        </w:rPr>
      </w:pPr>
      <w:r w:rsidRPr="00894A96">
        <w:rPr>
          <w:i/>
          <w:iCs/>
          <w:sz w:val="22"/>
          <w:szCs w:val="20"/>
        </w:rPr>
        <w:t>Longer session (8)</w:t>
      </w:r>
    </w:p>
    <w:p w14:paraId="74D588A8" w14:textId="018BB184" w:rsidR="005D3FE0" w:rsidRPr="005D3FE0" w:rsidRDefault="008C3DF5" w:rsidP="005E3A21">
      <w:r>
        <w:lastRenderedPageBreak/>
        <w:t xml:space="preserve">It could also be considered </w:t>
      </w:r>
      <w:r w:rsidR="005C423F">
        <w:t>if these topics and areas could be covered in the online aspect of the programme, as subject specific material was a request from a small number of participants in survey 3 (4).</w:t>
      </w:r>
    </w:p>
    <w:p w14:paraId="34E25EF8" w14:textId="458F6597" w:rsidR="005E3A21" w:rsidRDefault="005E3A21" w:rsidP="2E32142D">
      <w:r>
        <w:t xml:space="preserve">Research suggests that knowledge of university study is a barrier to progression to </w:t>
      </w:r>
      <w:r w:rsidR="00943C0C">
        <w:t>university</w:t>
      </w:r>
      <w:r>
        <w:t xml:space="preserve"> and so the programme may seek to consider how it can improve </w:t>
      </w:r>
      <w:r w:rsidR="00943C0C">
        <w:t xml:space="preserve">participants’ </w:t>
      </w:r>
      <w:r>
        <w:t>knowledge in this area; either through increasing the time spent on this area at the event, or improving the online provision in this area, perhaps by providing some subject specific support online.</w:t>
      </w:r>
      <w:r w:rsidR="00F10B3D">
        <w:t xml:space="preserve"> There was some recognition of current provision in comments in survey 3 but this could be expanded on:</w:t>
      </w:r>
    </w:p>
    <w:p w14:paraId="3C099939" w14:textId="3389C1C5" w:rsidR="00F10B3D" w:rsidRPr="00C575F8" w:rsidRDefault="00F10B3D" w:rsidP="00654B8F">
      <w:pPr>
        <w:pStyle w:val="ListParagraph"/>
        <w:numPr>
          <w:ilvl w:val="0"/>
          <w:numId w:val="4"/>
        </w:numPr>
        <w:ind w:left="1001"/>
        <w:rPr>
          <w:i/>
          <w:iCs/>
          <w:sz w:val="22"/>
          <w:szCs w:val="20"/>
        </w:rPr>
      </w:pPr>
      <w:r w:rsidRPr="00C575F8">
        <w:rPr>
          <w:i/>
          <w:iCs/>
          <w:sz w:val="22"/>
          <w:szCs w:val="20"/>
        </w:rPr>
        <w:t>I have found emails and the information attached to be informative.</w:t>
      </w:r>
    </w:p>
    <w:p w14:paraId="52EB9429" w14:textId="546AB76E" w:rsidR="00196E2C" w:rsidRPr="00C575F8" w:rsidRDefault="00196E2C" w:rsidP="00654B8F">
      <w:pPr>
        <w:pStyle w:val="ListParagraph"/>
        <w:numPr>
          <w:ilvl w:val="0"/>
          <w:numId w:val="4"/>
        </w:numPr>
        <w:ind w:left="1001"/>
        <w:rPr>
          <w:i/>
          <w:iCs/>
          <w:sz w:val="22"/>
          <w:szCs w:val="20"/>
        </w:rPr>
      </w:pPr>
      <w:r w:rsidRPr="00C575F8">
        <w:rPr>
          <w:i/>
          <w:iCs/>
          <w:sz w:val="22"/>
          <w:szCs w:val="20"/>
        </w:rPr>
        <w:t>I liked having useful little bits of info</w:t>
      </w:r>
    </w:p>
    <w:p w14:paraId="62B33F4C" w14:textId="72E0B179" w:rsidR="005B54DE" w:rsidRPr="00C575F8" w:rsidRDefault="005B54DE" w:rsidP="00654B8F">
      <w:pPr>
        <w:pStyle w:val="ListParagraph"/>
        <w:numPr>
          <w:ilvl w:val="0"/>
          <w:numId w:val="4"/>
        </w:numPr>
        <w:ind w:left="1001"/>
        <w:rPr>
          <w:i/>
          <w:iCs/>
          <w:sz w:val="22"/>
          <w:szCs w:val="20"/>
        </w:rPr>
      </w:pPr>
      <w:r w:rsidRPr="00C575F8">
        <w:rPr>
          <w:i/>
          <w:iCs/>
          <w:sz w:val="22"/>
          <w:szCs w:val="20"/>
        </w:rPr>
        <w:t xml:space="preserve">Information felt more accessible and </w:t>
      </w:r>
      <w:r w:rsidR="00BC10F4" w:rsidRPr="00C575F8">
        <w:rPr>
          <w:i/>
          <w:iCs/>
          <w:sz w:val="22"/>
          <w:szCs w:val="20"/>
        </w:rPr>
        <w:t>available</w:t>
      </w:r>
    </w:p>
    <w:p w14:paraId="3207B310" w14:textId="77777777" w:rsidR="00746EDB" w:rsidRPr="005E3A21" w:rsidRDefault="00746EDB" w:rsidP="2E32142D"/>
    <w:p w14:paraId="02D9D8A0" w14:textId="6EEDCBC1" w:rsidR="2E32142D" w:rsidRPr="00AC1F73" w:rsidRDefault="00D66895" w:rsidP="2E32142D">
      <w:pPr>
        <w:rPr>
          <w:b/>
          <w:bCs/>
        </w:rPr>
      </w:pPr>
      <w:r w:rsidRPr="00AC1F73">
        <w:rPr>
          <w:b/>
          <w:bCs/>
        </w:rPr>
        <w:t>Belonging</w:t>
      </w:r>
    </w:p>
    <w:p w14:paraId="3BBDBF79" w14:textId="22D8D912" w:rsidR="00D66895" w:rsidRDefault="00AA513B" w:rsidP="00D66895">
      <w:r>
        <w:t xml:space="preserve">Students sense of belonging increased across the programme. </w:t>
      </w:r>
      <w:r w:rsidR="00D66895">
        <w:t>Noticeably, the largest effect size and mean score increase was in the participants who completed all three surveys</w:t>
      </w:r>
      <w:r w:rsidR="006641C9">
        <w:t xml:space="preserve"> (Group 3)</w:t>
      </w:r>
      <w:r w:rsidR="00D66895">
        <w:t xml:space="preserve">, suggesting </w:t>
      </w:r>
      <w:r w:rsidR="006641C9">
        <w:t xml:space="preserve">a </w:t>
      </w:r>
      <w:r w:rsidR="002F0DCB">
        <w:t xml:space="preserve">positive </w:t>
      </w:r>
      <w:r w:rsidR="006641C9">
        <w:t>correlation between</w:t>
      </w:r>
      <w:r w:rsidR="00D66895">
        <w:t xml:space="preserve"> </w:t>
      </w:r>
      <w:r w:rsidR="00442760">
        <w:t>participants’</w:t>
      </w:r>
      <w:r w:rsidR="00B65BB6">
        <w:t xml:space="preserve"> level of</w:t>
      </w:r>
      <w:r w:rsidR="00442760">
        <w:t xml:space="preserve"> </w:t>
      </w:r>
      <w:r w:rsidR="00D66895">
        <w:t>engage</w:t>
      </w:r>
      <w:r w:rsidR="002F0DCB">
        <w:t>ment</w:t>
      </w:r>
      <w:r w:rsidR="00D66895">
        <w:t xml:space="preserve"> with the programme</w:t>
      </w:r>
      <w:r w:rsidR="002F0DCB">
        <w:t xml:space="preserve"> and a</w:t>
      </w:r>
      <w:r w:rsidR="00D66895">
        <w:t xml:space="preserve"> greater sense of belonging. </w:t>
      </w:r>
    </w:p>
    <w:p w14:paraId="79676024" w14:textId="30E17585" w:rsidR="00D66895" w:rsidRDefault="00D66895" w:rsidP="00D66895">
      <w:r>
        <w:t xml:space="preserve">It should also be considered that both the change in mean scores and effect size was greater in </w:t>
      </w:r>
      <w:r w:rsidR="00C575F8">
        <w:t>G</w:t>
      </w:r>
      <w:r>
        <w:t xml:space="preserve">roup 2 than </w:t>
      </w:r>
      <w:r w:rsidR="00C575F8">
        <w:t>G</w:t>
      </w:r>
      <w:r>
        <w:t xml:space="preserve">roup 1, which underlines the sustained impact of the programme on sense of belonging, as </w:t>
      </w:r>
      <w:r w:rsidR="00FB5D26">
        <w:t xml:space="preserve">participants </w:t>
      </w:r>
      <w:r>
        <w:t>reported a greater sense of belonging further into the programme.</w:t>
      </w:r>
    </w:p>
    <w:p w14:paraId="191A20F6" w14:textId="77777777" w:rsidR="00DF20AD" w:rsidRDefault="00D66895" w:rsidP="00D66895">
      <w:r>
        <w:t>A number of factors may have caused this outcome, such as the sense of community gathered at the in-person event</w:t>
      </w:r>
      <w:r w:rsidR="00DF20AD">
        <w:t>:</w:t>
      </w:r>
    </w:p>
    <w:p w14:paraId="37893671" w14:textId="16C663AB" w:rsidR="00DF20AD" w:rsidRPr="00C575F8" w:rsidRDefault="00DD1202" w:rsidP="00654B8F">
      <w:pPr>
        <w:pStyle w:val="ListParagraph"/>
        <w:numPr>
          <w:ilvl w:val="0"/>
          <w:numId w:val="5"/>
        </w:numPr>
        <w:rPr>
          <w:i/>
          <w:iCs/>
          <w:sz w:val="22"/>
          <w:szCs w:val="20"/>
        </w:rPr>
      </w:pPr>
      <w:r w:rsidRPr="00C575F8">
        <w:rPr>
          <w:i/>
          <w:iCs/>
          <w:sz w:val="22"/>
          <w:szCs w:val="20"/>
        </w:rPr>
        <w:t>Positive comments about the f</w:t>
      </w:r>
      <w:r w:rsidR="00C60A5C" w:rsidRPr="00C575F8">
        <w:rPr>
          <w:i/>
          <w:iCs/>
          <w:sz w:val="22"/>
          <w:szCs w:val="20"/>
        </w:rPr>
        <w:t>riendly environment</w:t>
      </w:r>
      <w:r w:rsidR="00183952" w:rsidRPr="00C575F8">
        <w:rPr>
          <w:i/>
          <w:iCs/>
          <w:sz w:val="22"/>
          <w:szCs w:val="20"/>
        </w:rPr>
        <w:t xml:space="preserve"> (19)</w:t>
      </w:r>
    </w:p>
    <w:p w14:paraId="6E9A067E" w14:textId="65745C65" w:rsidR="00DD1202" w:rsidRPr="00C575F8" w:rsidRDefault="00DD1202" w:rsidP="00654B8F">
      <w:pPr>
        <w:pStyle w:val="ListParagraph"/>
        <w:numPr>
          <w:ilvl w:val="0"/>
          <w:numId w:val="5"/>
        </w:numPr>
        <w:rPr>
          <w:i/>
          <w:iCs/>
          <w:sz w:val="22"/>
          <w:szCs w:val="20"/>
        </w:rPr>
      </w:pPr>
      <w:r w:rsidRPr="00C575F8">
        <w:rPr>
          <w:i/>
          <w:iCs/>
          <w:sz w:val="22"/>
          <w:szCs w:val="20"/>
        </w:rPr>
        <w:t>Positive comments about m</w:t>
      </w:r>
      <w:r w:rsidR="00C60A5C" w:rsidRPr="00C575F8">
        <w:rPr>
          <w:i/>
          <w:iCs/>
          <w:sz w:val="22"/>
          <w:szCs w:val="20"/>
        </w:rPr>
        <w:t xml:space="preserve">eeting </w:t>
      </w:r>
      <w:r w:rsidRPr="00C575F8">
        <w:rPr>
          <w:i/>
          <w:iCs/>
          <w:sz w:val="22"/>
          <w:szCs w:val="20"/>
        </w:rPr>
        <w:t>others</w:t>
      </w:r>
      <w:r w:rsidR="00183952" w:rsidRPr="00C575F8">
        <w:rPr>
          <w:i/>
          <w:iCs/>
          <w:sz w:val="22"/>
          <w:szCs w:val="20"/>
        </w:rPr>
        <w:t xml:space="preserve"> (23)</w:t>
      </w:r>
    </w:p>
    <w:p w14:paraId="6440369A" w14:textId="065B10A4" w:rsidR="00D75A75" w:rsidRPr="00C575F8" w:rsidRDefault="00D75A75" w:rsidP="00654B8F">
      <w:pPr>
        <w:pStyle w:val="ListParagraph"/>
        <w:numPr>
          <w:ilvl w:val="0"/>
          <w:numId w:val="5"/>
        </w:numPr>
        <w:rPr>
          <w:i/>
          <w:iCs/>
          <w:sz w:val="22"/>
          <w:szCs w:val="20"/>
        </w:rPr>
      </w:pPr>
      <w:r w:rsidRPr="00C575F8">
        <w:rPr>
          <w:i/>
          <w:iCs/>
          <w:sz w:val="22"/>
          <w:szCs w:val="20"/>
        </w:rPr>
        <w:t>Reading feels really inclusive and accessible, I could really see myself here</w:t>
      </w:r>
    </w:p>
    <w:p w14:paraId="709354C3" w14:textId="12337AA8" w:rsidR="00183952" w:rsidRPr="00C575F8" w:rsidRDefault="00183952" w:rsidP="00654B8F">
      <w:pPr>
        <w:pStyle w:val="ListParagraph"/>
        <w:numPr>
          <w:ilvl w:val="0"/>
          <w:numId w:val="5"/>
        </w:numPr>
        <w:rPr>
          <w:i/>
          <w:iCs/>
          <w:sz w:val="22"/>
          <w:szCs w:val="20"/>
        </w:rPr>
      </w:pPr>
      <w:r w:rsidRPr="00C575F8">
        <w:rPr>
          <w:i/>
          <w:iCs/>
          <w:sz w:val="22"/>
          <w:szCs w:val="20"/>
        </w:rPr>
        <w:t>Reading seems to be a very welcoming community for all sorts of people</w:t>
      </w:r>
    </w:p>
    <w:p w14:paraId="0DE04775" w14:textId="6B166163" w:rsidR="00D66895" w:rsidRDefault="00593EF4" w:rsidP="00D66895">
      <w:r>
        <w:t>This positive sense of belonging created at the in-person event</w:t>
      </w:r>
      <w:r w:rsidR="00724A7E">
        <w:t xml:space="preserve"> seem</w:t>
      </w:r>
      <w:r w:rsidR="00D515DC">
        <w:t>s</w:t>
      </w:r>
      <w:r w:rsidR="00724A7E">
        <w:t xml:space="preserve"> to have been </w:t>
      </w:r>
      <w:r w:rsidR="00D515DC">
        <w:t>sustained</w:t>
      </w:r>
      <w:r w:rsidR="00724A7E">
        <w:t xml:space="preserve"> throughout the programme. This may have been due to</w:t>
      </w:r>
      <w:r w:rsidR="00D66895">
        <w:t xml:space="preserve"> the introduction of the online community, allowing </w:t>
      </w:r>
      <w:r w:rsidR="00FB5D26">
        <w:t xml:space="preserve">participants </w:t>
      </w:r>
      <w:r w:rsidR="00D66895">
        <w:t xml:space="preserve">to continue to engage with peers and ambassadors over the course of the programme. While engagement in the public spaces of the online community dropped over time, </w:t>
      </w:r>
      <w:r w:rsidR="00FB5D26">
        <w:t xml:space="preserve">participants </w:t>
      </w:r>
      <w:r w:rsidR="00D66895">
        <w:t>continued to engage with one another in private communications using the site, which may have helped sustain their sense of belonging.</w:t>
      </w:r>
      <w:r w:rsidR="00FB37CC">
        <w:t xml:space="preserve"> Some comments around this were included in survey 3:</w:t>
      </w:r>
    </w:p>
    <w:p w14:paraId="3A564D02" w14:textId="32E1278E" w:rsidR="00FB37CC" w:rsidRPr="00C575F8" w:rsidRDefault="00FB37CC" w:rsidP="00654B8F">
      <w:pPr>
        <w:pStyle w:val="ListParagraph"/>
        <w:numPr>
          <w:ilvl w:val="0"/>
          <w:numId w:val="6"/>
        </w:numPr>
        <w:rPr>
          <w:i/>
          <w:iCs/>
          <w:sz w:val="22"/>
          <w:szCs w:val="20"/>
        </w:rPr>
      </w:pPr>
      <w:r w:rsidRPr="00C575F8">
        <w:rPr>
          <w:i/>
          <w:iCs/>
          <w:sz w:val="22"/>
          <w:szCs w:val="20"/>
        </w:rPr>
        <w:t>Allowed me to connect with people I never would have otherwise</w:t>
      </w:r>
    </w:p>
    <w:p w14:paraId="51361C09" w14:textId="0AC998E7" w:rsidR="00FB37CC" w:rsidRPr="00C575F8" w:rsidRDefault="00784B50" w:rsidP="00654B8F">
      <w:pPr>
        <w:pStyle w:val="ListParagraph"/>
        <w:numPr>
          <w:ilvl w:val="0"/>
          <w:numId w:val="6"/>
        </w:numPr>
        <w:rPr>
          <w:i/>
          <w:iCs/>
          <w:sz w:val="22"/>
          <w:szCs w:val="20"/>
        </w:rPr>
      </w:pPr>
      <w:r w:rsidRPr="00C575F8">
        <w:rPr>
          <w:i/>
          <w:iCs/>
          <w:sz w:val="22"/>
          <w:szCs w:val="20"/>
        </w:rPr>
        <w:t xml:space="preserve">Chatting to students on </w:t>
      </w:r>
      <w:proofErr w:type="spellStart"/>
      <w:r w:rsidR="001902CB" w:rsidRPr="00C575F8">
        <w:rPr>
          <w:i/>
          <w:iCs/>
          <w:sz w:val="22"/>
          <w:szCs w:val="20"/>
        </w:rPr>
        <w:t>Unibuddy</w:t>
      </w:r>
      <w:proofErr w:type="spellEnd"/>
      <w:r w:rsidRPr="00C575F8">
        <w:rPr>
          <w:i/>
          <w:iCs/>
          <w:sz w:val="22"/>
          <w:szCs w:val="20"/>
        </w:rPr>
        <w:t xml:space="preserve"> was useful.</w:t>
      </w:r>
    </w:p>
    <w:p w14:paraId="40CFD8F7" w14:textId="110950AD" w:rsidR="00784B50" w:rsidRPr="00C575F8" w:rsidRDefault="002769B2" w:rsidP="00654B8F">
      <w:pPr>
        <w:pStyle w:val="ListParagraph"/>
        <w:numPr>
          <w:ilvl w:val="0"/>
          <w:numId w:val="6"/>
        </w:numPr>
        <w:rPr>
          <w:i/>
          <w:iCs/>
          <w:sz w:val="22"/>
          <w:szCs w:val="20"/>
        </w:rPr>
      </w:pPr>
      <w:r w:rsidRPr="00C575F8">
        <w:rPr>
          <w:i/>
          <w:iCs/>
          <w:sz w:val="22"/>
          <w:szCs w:val="20"/>
        </w:rPr>
        <w:t>It gave me an insight of how life will go at reading university which eases the worries and stress I might’ve had.</w:t>
      </w:r>
    </w:p>
    <w:p w14:paraId="0299815D" w14:textId="408BECB4" w:rsidR="000026AC" w:rsidRPr="00C575F8" w:rsidRDefault="000026AC" w:rsidP="00654B8F">
      <w:pPr>
        <w:pStyle w:val="ListParagraph"/>
        <w:numPr>
          <w:ilvl w:val="0"/>
          <w:numId w:val="6"/>
        </w:numPr>
        <w:rPr>
          <w:i/>
          <w:iCs/>
          <w:sz w:val="22"/>
          <w:szCs w:val="20"/>
        </w:rPr>
      </w:pPr>
      <w:r w:rsidRPr="00C575F8">
        <w:rPr>
          <w:i/>
          <w:iCs/>
          <w:sz w:val="22"/>
          <w:szCs w:val="20"/>
        </w:rPr>
        <w:t>It has been nice interacting with other contextual offer holders, and other people wanting to do similar courses that I want to do.</w:t>
      </w:r>
    </w:p>
    <w:p w14:paraId="0CE9045E" w14:textId="2B170FDE" w:rsidR="007F0413" w:rsidRPr="00C575F8" w:rsidRDefault="007F0413" w:rsidP="00654B8F">
      <w:pPr>
        <w:pStyle w:val="ListParagraph"/>
        <w:numPr>
          <w:ilvl w:val="0"/>
          <w:numId w:val="6"/>
        </w:numPr>
        <w:rPr>
          <w:i/>
          <w:iCs/>
        </w:rPr>
      </w:pPr>
      <w:r w:rsidRPr="00C575F8">
        <w:rPr>
          <w:i/>
          <w:iCs/>
          <w:sz w:val="22"/>
          <w:szCs w:val="20"/>
        </w:rPr>
        <w:lastRenderedPageBreak/>
        <w:t>Loved meeting others online</w:t>
      </w:r>
    </w:p>
    <w:p w14:paraId="4AB92498" w14:textId="61CB5D7E" w:rsidR="00D66895" w:rsidRDefault="000026AC" w:rsidP="2E32142D">
      <w:r>
        <w:t>The sustained sense of belonging can be seen as one of the programmes’ successes.</w:t>
      </w:r>
    </w:p>
    <w:p w14:paraId="6B31593F" w14:textId="77777777" w:rsidR="000026AC" w:rsidRDefault="000026AC" w:rsidP="2E32142D"/>
    <w:p w14:paraId="4160CC5A" w14:textId="5E08EF66" w:rsidR="000026AC" w:rsidRPr="00AC1F73" w:rsidRDefault="000026AC" w:rsidP="2E32142D">
      <w:r w:rsidRPr="00AC1F73">
        <w:rPr>
          <w:b/>
          <w:bCs/>
        </w:rPr>
        <w:t>Support</w:t>
      </w:r>
    </w:p>
    <w:p w14:paraId="62F520D0" w14:textId="587430FC" w:rsidR="000026AC" w:rsidRDefault="00163F7C" w:rsidP="2E32142D">
      <w:r>
        <w:t xml:space="preserve">The sustained </w:t>
      </w:r>
      <w:r w:rsidR="0083440C">
        <w:t xml:space="preserve">growth in </w:t>
      </w:r>
      <w:r w:rsidR="00FB5D26">
        <w:t xml:space="preserve">participants’ </w:t>
      </w:r>
      <w:r w:rsidR="0083440C">
        <w:t>knowledge of support over the course of the programme is corroborated in the comments around both the supportive nature of the programme and the</w:t>
      </w:r>
      <w:r w:rsidR="00C34FF2">
        <w:t xml:space="preserve"> understanding of the support available at university:</w:t>
      </w:r>
    </w:p>
    <w:p w14:paraId="747C30C4" w14:textId="26DC626E" w:rsidR="00C34FF2" w:rsidRPr="00D743B9" w:rsidRDefault="00B36EFB" w:rsidP="00654B8F">
      <w:pPr>
        <w:pStyle w:val="ListParagraph"/>
        <w:numPr>
          <w:ilvl w:val="0"/>
          <w:numId w:val="7"/>
        </w:numPr>
        <w:rPr>
          <w:i/>
          <w:iCs/>
          <w:sz w:val="22"/>
          <w:szCs w:val="20"/>
        </w:rPr>
      </w:pPr>
      <w:r w:rsidRPr="00D743B9">
        <w:rPr>
          <w:i/>
          <w:iCs/>
          <w:sz w:val="22"/>
          <w:szCs w:val="20"/>
        </w:rPr>
        <w:t>I didn’t know about mentoring available through DAS</w:t>
      </w:r>
    </w:p>
    <w:p w14:paraId="21EECA04" w14:textId="4F26BB12" w:rsidR="00B36EFB" w:rsidRPr="00D743B9" w:rsidRDefault="00CB7C69" w:rsidP="00654B8F">
      <w:pPr>
        <w:pStyle w:val="ListParagraph"/>
        <w:numPr>
          <w:ilvl w:val="0"/>
          <w:numId w:val="7"/>
        </w:numPr>
        <w:rPr>
          <w:i/>
          <w:iCs/>
          <w:sz w:val="22"/>
          <w:szCs w:val="20"/>
        </w:rPr>
      </w:pPr>
      <w:r w:rsidRPr="00D743B9">
        <w:rPr>
          <w:i/>
          <w:iCs/>
          <w:sz w:val="22"/>
          <w:szCs w:val="20"/>
        </w:rPr>
        <w:t>(It was helpful) Being able to speak to support staff</w:t>
      </w:r>
      <w:r w:rsidR="00EB63EB" w:rsidRPr="00D743B9">
        <w:rPr>
          <w:i/>
          <w:iCs/>
          <w:sz w:val="22"/>
          <w:szCs w:val="20"/>
        </w:rPr>
        <w:t xml:space="preserve"> around the university</w:t>
      </w:r>
    </w:p>
    <w:p w14:paraId="3E0C017D" w14:textId="1179BB95" w:rsidR="007921FD" w:rsidRPr="00D743B9" w:rsidRDefault="007921FD" w:rsidP="00654B8F">
      <w:pPr>
        <w:pStyle w:val="ListParagraph"/>
        <w:numPr>
          <w:ilvl w:val="0"/>
          <w:numId w:val="7"/>
        </w:numPr>
        <w:rPr>
          <w:i/>
          <w:iCs/>
          <w:sz w:val="22"/>
          <w:szCs w:val="20"/>
        </w:rPr>
      </w:pPr>
      <w:r w:rsidRPr="00D743B9">
        <w:rPr>
          <w:i/>
          <w:iCs/>
          <w:sz w:val="22"/>
          <w:szCs w:val="20"/>
        </w:rPr>
        <w:t>(It was helpful) The networking session – accommodation and disability information</w:t>
      </w:r>
    </w:p>
    <w:p w14:paraId="026579E1" w14:textId="1241EFF5" w:rsidR="00EB63EB" w:rsidRPr="00D743B9" w:rsidRDefault="000B314D" w:rsidP="00654B8F">
      <w:pPr>
        <w:pStyle w:val="ListParagraph"/>
        <w:numPr>
          <w:ilvl w:val="0"/>
          <w:numId w:val="7"/>
        </w:numPr>
        <w:rPr>
          <w:i/>
          <w:iCs/>
          <w:sz w:val="22"/>
          <w:szCs w:val="20"/>
        </w:rPr>
      </w:pPr>
      <w:r w:rsidRPr="00D743B9">
        <w:rPr>
          <w:i/>
          <w:iCs/>
          <w:sz w:val="22"/>
          <w:szCs w:val="20"/>
        </w:rPr>
        <w:t>The support that has been made available makes me think that I will be welcomed, regardless of my disability</w:t>
      </w:r>
    </w:p>
    <w:p w14:paraId="584FD3BC" w14:textId="73BD3F88" w:rsidR="007145B2" w:rsidRPr="00D743B9" w:rsidRDefault="007145B2" w:rsidP="00654B8F">
      <w:pPr>
        <w:pStyle w:val="ListParagraph"/>
        <w:numPr>
          <w:ilvl w:val="0"/>
          <w:numId w:val="7"/>
        </w:numPr>
        <w:rPr>
          <w:i/>
          <w:iCs/>
          <w:sz w:val="22"/>
          <w:szCs w:val="20"/>
        </w:rPr>
      </w:pPr>
      <w:r w:rsidRPr="00D743B9">
        <w:rPr>
          <w:i/>
          <w:iCs/>
          <w:sz w:val="22"/>
          <w:szCs w:val="20"/>
        </w:rPr>
        <w:t>The support for our subject was great</w:t>
      </w:r>
    </w:p>
    <w:p w14:paraId="26A4823F" w14:textId="64D8E593" w:rsidR="000B314D" w:rsidRPr="00D743B9" w:rsidRDefault="000B314D" w:rsidP="00654B8F">
      <w:pPr>
        <w:pStyle w:val="ListParagraph"/>
        <w:numPr>
          <w:ilvl w:val="0"/>
          <w:numId w:val="7"/>
        </w:numPr>
        <w:rPr>
          <w:i/>
          <w:iCs/>
          <w:sz w:val="22"/>
          <w:szCs w:val="20"/>
        </w:rPr>
      </w:pPr>
      <w:r w:rsidRPr="00D743B9">
        <w:rPr>
          <w:i/>
          <w:iCs/>
          <w:sz w:val="22"/>
          <w:szCs w:val="20"/>
        </w:rPr>
        <w:t>Lots of support granted to those who require reasonable adjustments, there is a lot of LGBTQ+ stuff to get involved in, I like their societies</w:t>
      </w:r>
    </w:p>
    <w:p w14:paraId="75FC7FBE" w14:textId="4DCCABEB" w:rsidR="0040321D" w:rsidRDefault="005570D2" w:rsidP="2E32142D">
      <w:r>
        <w:t xml:space="preserve">It is noticeable that </w:t>
      </w:r>
      <w:r w:rsidR="00BF1AEE">
        <w:t>Group 2</w:t>
      </w:r>
      <w:r>
        <w:t xml:space="preserve">, which contained some </w:t>
      </w:r>
      <w:r w:rsidR="005A0C51">
        <w:t>participants who did not attend the in-person event,</w:t>
      </w:r>
      <w:r>
        <w:t xml:space="preserve"> experienced</w:t>
      </w:r>
      <w:r w:rsidR="00BF1AEE">
        <w:t xml:space="preserve"> smaller effect size</w:t>
      </w:r>
      <w:r w:rsidR="005A0C51">
        <w:t>. It could be theorised that the</w:t>
      </w:r>
      <w:r w:rsidR="00BF1AEE">
        <w:t xml:space="preserve"> in-person event play</w:t>
      </w:r>
      <w:r w:rsidR="005A0C51">
        <w:t xml:space="preserve">ed </w:t>
      </w:r>
      <w:r w:rsidR="00BF1AEE">
        <w:t xml:space="preserve">a key role in </w:t>
      </w:r>
      <w:r w:rsidR="00095D8A">
        <w:t xml:space="preserve">developing </w:t>
      </w:r>
      <w:r w:rsidR="00442760">
        <w:t xml:space="preserve">participants’ </w:t>
      </w:r>
      <w:r w:rsidR="00095D8A">
        <w:t xml:space="preserve">knowledge of the </w:t>
      </w:r>
      <w:r w:rsidR="00BF1AEE">
        <w:t>support</w:t>
      </w:r>
      <w:r w:rsidR="00E54467">
        <w:t xml:space="preserve"> </w:t>
      </w:r>
      <w:r w:rsidR="00095D8A">
        <w:t>available</w:t>
      </w:r>
      <w:r w:rsidR="00994D83">
        <w:t>, which is supported by the comments in Survey 2.</w:t>
      </w:r>
      <w:r w:rsidR="00E54467">
        <w:t xml:space="preserve"> </w:t>
      </w:r>
    </w:p>
    <w:p w14:paraId="05A81C98" w14:textId="4ADA3755" w:rsidR="0040321D" w:rsidRDefault="0040321D" w:rsidP="2E32142D">
      <w:r>
        <w:t xml:space="preserve">This is </w:t>
      </w:r>
      <w:r w:rsidR="00BE22E4">
        <w:t xml:space="preserve">reinforced by the context of the </w:t>
      </w:r>
      <w:r w:rsidR="00F444FD">
        <w:t xml:space="preserve">event, which gave a significant portion of time </w:t>
      </w:r>
      <w:r w:rsidR="00957F84">
        <w:t xml:space="preserve">to </w:t>
      </w:r>
      <w:r w:rsidR="00442760">
        <w:t xml:space="preserve">participants </w:t>
      </w:r>
      <w:r w:rsidR="00957F84">
        <w:t>being able to network with various support services</w:t>
      </w:r>
      <w:r w:rsidR="00610591">
        <w:t xml:space="preserve">. The growth in </w:t>
      </w:r>
      <w:r w:rsidR="00FB5D26">
        <w:t xml:space="preserve">participants </w:t>
      </w:r>
      <w:r w:rsidR="006512D1">
        <w:t xml:space="preserve">knowledge of support from those that attended the in-person event suggests that </w:t>
      </w:r>
      <w:r w:rsidR="0078273F">
        <w:t xml:space="preserve">this element of the event should be retained for future cohorts, as well as </w:t>
      </w:r>
      <w:r w:rsidR="001E4AAA">
        <w:t>seeking</w:t>
      </w:r>
      <w:r w:rsidR="0078273F">
        <w:t xml:space="preserve"> to </w:t>
      </w:r>
      <w:r w:rsidR="001E4AAA">
        <w:t>improve the</w:t>
      </w:r>
      <w:r w:rsidR="00E377DD">
        <w:t xml:space="preserve"> information on support services</w:t>
      </w:r>
      <w:r w:rsidR="001E4AAA">
        <w:t xml:space="preserve"> via</w:t>
      </w:r>
      <w:r w:rsidR="00E377DD">
        <w:t xml:space="preserve"> online </w:t>
      </w:r>
      <w:r w:rsidR="001E4AAA">
        <w:t>provision</w:t>
      </w:r>
      <w:r w:rsidR="00E377DD">
        <w:t>.</w:t>
      </w:r>
      <w:r w:rsidR="0078273F">
        <w:t xml:space="preserve"> </w:t>
      </w:r>
    </w:p>
    <w:p w14:paraId="5E72C1D7" w14:textId="0C9B8D32" w:rsidR="00D21DBB" w:rsidRDefault="004167F8" w:rsidP="2E32142D">
      <w:r>
        <w:t xml:space="preserve">The sustained growth in </w:t>
      </w:r>
      <w:r w:rsidR="00FB5D26">
        <w:t xml:space="preserve">participants’ </w:t>
      </w:r>
      <w:r>
        <w:t>knowledge about support services can be seen as one of the programme’s successes.</w:t>
      </w:r>
    </w:p>
    <w:p w14:paraId="6D54126C" w14:textId="77777777" w:rsidR="004167F8" w:rsidRDefault="004167F8" w:rsidP="2E32142D"/>
    <w:p w14:paraId="0ED45BBD" w14:textId="037D79B8" w:rsidR="00D21DBB" w:rsidRPr="00AC1F73" w:rsidRDefault="00D21DBB" w:rsidP="2E32142D">
      <w:pPr>
        <w:rPr>
          <w:b/>
          <w:bCs/>
        </w:rPr>
      </w:pPr>
      <w:r w:rsidRPr="00AC1F73">
        <w:rPr>
          <w:b/>
          <w:bCs/>
        </w:rPr>
        <w:t>Confidence</w:t>
      </w:r>
    </w:p>
    <w:p w14:paraId="1A13C7B8" w14:textId="768CB2E1" w:rsidR="001E4AAA" w:rsidRDefault="00FB5D26" w:rsidP="2E32142D">
      <w:r>
        <w:t xml:space="preserve">Participants’ </w:t>
      </w:r>
      <w:r w:rsidR="00277F1E">
        <w:t xml:space="preserve">confidence to cope with learning in higher education </w:t>
      </w:r>
      <w:r w:rsidR="00FB1C7C">
        <w:t xml:space="preserve">improved following the in-person event. This would seem to link to the subject-specific support that was available to most </w:t>
      </w:r>
      <w:r>
        <w:t xml:space="preserve">participants </w:t>
      </w:r>
      <w:r w:rsidR="00FB1C7C">
        <w:t>throughout the day</w:t>
      </w:r>
      <w:r w:rsidR="006C7CD2">
        <w:t xml:space="preserve">. This was recognised in </w:t>
      </w:r>
      <w:r>
        <w:t xml:space="preserve">participants </w:t>
      </w:r>
      <w:r w:rsidR="006C7CD2">
        <w:t>comments from survey 2:</w:t>
      </w:r>
    </w:p>
    <w:p w14:paraId="79E586C4" w14:textId="033F0145" w:rsidR="006C7CD2" w:rsidRPr="004A793F" w:rsidRDefault="00D20DFA" w:rsidP="00654B8F">
      <w:pPr>
        <w:pStyle w:val="ListParagraph"/>
        <w:numPr>
          <w:ilvl w:val="0"/>
          <w:numId w:val="8"/>
        </w:numPr>
        <w:rPr>
          <w:i/>
          <w:iCs/>
          <w:sz w:val="22"/>
          <w:szCs w:val="20"/>
        </w:rPr>
      </w:pPr>
      <w:r w:rsidRPr="004A793F">
        <w:rPr>
          <w:i/>
          <w:iCs/>
          <w:sz w:val="22"/>
          <w:szCs w:val="20"/>
        </w:rPr>
        <w:t>You have covered everything well. I've gained so much information and confidence</w:t>
      </w:r>
    </w:p>
    <w:p w14:paraId="4CBF4ACF" w14:textId="4C3C2BE9" w:rsidR="0056718A" w:rsidRPr="004A793F" w:rsidRDefault="0056718A" w:rsidP="00654B8F">
      <w:pPr>
        <w:pStyle w:val="ListParagraph"/>
        <w:numPr>
          <w:ilvl w:val="0"/>
          <w:numId w:val="8"/>
        </w:numPr>
        <w:rPr>
          <w:i/>
          <w:iCs/>
          <w:sz w:val="22"/>
          <w:szCs w:val="20"/>
        </w:rPr>
      </w:pPr>
      <w:r w:rsidRPr="004A793F">
        <w:rPr>
          <w:i/>
          <w:iCs/>
          <w:sz w:val="22"/>
          <w:szCs w:val="20"/>
        </w:rPr>
        <w:t>Getting a better sense of what to expect to feel more confident</w:t>
      </w:r>
    </w:p>
    <w:p w14:paraId="628C9A1B" w14:textId="53462856" w:rsidR="00F341AD" w:rsidRPr="004A793F" w:rsidRDefault="00F341AD" w:rsidP="00654B8F">
      <w:pPr>
        <w:pStyle w:val="ListParagraph"/>
        <w:numPr>
          <w:ilvl w:val="0"/>
          <w:numId w:val="8"/>
        </w:numPr>
        <w:rPr>
          <w:i/>
          <w:iCs/>
          <w:sz w:val="22"/>
          <w:szCs w:val="20"/>
        </w:rPr>
      </w:pPr>
      <w:r w:rsidRPr="004A793F">
        <w:rPr>
          <w:i/>
          <w:iCs/>
          <w:sz w:val="22"/>
          <w:szCs w:val="20"/>
        </w:rPr>
        <w:t>The subject sessions were really helpful with the tour of the department - it showed me the sorts of facilities my course offered</w:t>
      </w:r>
    </w:p>
    <w:p w14:paraId="6C8BD4DE" w14:textId="2A3AF82B" w:rsidR="0056718A" w:rsidRPr="004A793F" w:rsidRDefault="0056718A" w:rsidP="00654B8F">
      <w:pPr>
        <w:pStyle w:val="ListParagraph"/>
        <w:numPr>
          <w:ilvl w:val="0"/>
          <w:numId w:val="8"/>
        </w:numPr>
        <w:rPr>
          <w:i/>
          <w:iCs/>
          <w:sz w:val="22"/>
          <w:szCs w:val="20"/>
        </w:rPr>
      </w:pPr>
      <w:r w:rsidRPr="004A793F">
        <w:rPr>
          <w:i/>
          <w:iCs/>
          <w:sz w:val="22"/>
          <w:szCs w:val="20"/>
        </w:rPr>
        <w:t>I feel more confident than I did</w:t>
      </w:r>
    </w:p>
    <w:p w14:paraId="04491980" w14:textId="77777777" w:rsidR="00F745DF" w:rsidRPr="004A793F" w:rsidRDefault="00A36761" w:rsidP="00654B8F">
      <w:pPr>
        <w:pStyle w:val="ListParagraph"/>
        <w:numPr>
          <w:ilvl w:val="0"/>
          <w:numId w:val="8"/>
        </w:numPr>
        <w:rPr>
          <w:i/>
          <w:iCs/>
          <w:sz w:val="22"/>
          <w:szCs w:val="20"/>
        </w:rPr>
      </w:pPr>
      <w:r w:rsidRPr="004A793F">
        <w:rPr>
          <w:i/>
          <w:iCs/>
          <w:sz w:val="22"/>
          <w:szCs w:val="20"/>
        </w:rPr>
        <w:t>I got to experience what the class may be like</w:t>
      </w:r>
    </w:p>
    <w:p w14:paraId="33C43421" w14:textId="02676D93" w:rsidR="00D0402B" w:rsidRPr="004A793F" w:rsidRDefault="00D0402B" w:rsidP="00654B8F">
      <w:pPr>
        <w:pStyle w:val="ListParagraph"/>
        <w:numPr>
          <w:ilvl w:val="0"/>
          <w:numId w:val="8"/>
        </w:numPr>
        <w:rPr>
          <w:i/>
          <w:iCs/>
          <w:sz w:val="22"/>
          <w:szCs w:val="20"/>
        </w:rPr>
      </w:pPr>
      <w:r w:rsidRPr="004A793F">
        <w:rPr>
          <w:i/>
          <w:iCs/>
          <w:sz w:val="22"/>
          <w:szCs w:val="20"/>
        </w:rPr>
        <w:t>Talking to other Biomed students (both future and current) helped me see what the schedule/life would be like for a student at Reading</w:t>
      </w:r>
    </w:p>
    <w:p w14:paraId="22393053" w14:textId="047639DB" w:rsidR="00A36761" w:rsidRPr="004A793F" w:rsidRDefault="00F745DF" w:rsidP="00654B8F">
      <w:pPr>
        <w:pStyle w:val="ListParagraph"/>
        <w:numPr>
          <w:ilvl w:val="0"/>
          <w:numId w:val="8"/>
        </w:numPr>
        <w:rPr>
          <w:i/>
          <w:iCs/>
          <w:sz w:val="22"/>
          <w:szCs w:val="20"/>
        </w:rPr>
      </w:pPr>
      <w:r w:rsidRPr="004A793F">
        <w:rPr>
          <w:i/>
          <w:iCs/>
          <w:sz w:val="22"/>
          <w:szCs w:val="20"/>
        </w:rPr>
        <w:lastRenderedPageBreak/>
        <w:t>Session helped to answer questions more specific to the subject e.g. workload and tips.</w:t>
      </w:r>
    </w:p>
    <w:p w14:paraId="1C804777" w14:textId="77777777" w:rsidR="00E273DF" w:rsidRDefault="001C28DA" w:rsidP="00F745DF">
      <w:r>
        <w:t>However, the survey results suggest that these impacts were short-term</w:t>
      </w:r>
      <w:r w:rsidR="005B0773">
        <w:t>, with confidence outcomes for Group 1 being notably more successful than Groups 2 and 3</w:t>
      </w:r>
      <w:r>
        <w:t>.</w:t>
      </w:r>
    </w:p>
    <w:p w14:paraId="44F96939" w14:textId="6DE9F39C" w:rsidR="00E273DF" w:rsidRDefault="00E273DF" w:rsidP="00F745DF">
      <w:r>
        <w:t>This could be in part to the timing of survey 3</w:t>
      </w:r>
      <w:r w:rsidR="008448EB">
        <w:t xml:space="preserve">, which came after </w:t>
      </w:r>
      <w:r w:rsidR="00FB5D26">
        <w:t xml:space="preserve">participants’ </w:t>
      </w:r>
      <w:r w:rsidR="008448EB">
        <w:t xml:space="preserve">final exams but before they received their results. This may have meant that </w:t>
      </w:r>
      <w:r w:rsidR="00FB5D26">
        <w:t xml:space="preserve">participants </w:t>
      </w:r>
      <w:r w:rsidR="008D635C">
        <w:t>were surveyed whilst</w:t>
      </w:r>
      <w:r w:rsidR="00D62530">
        <w:t xml:space="preserve"> </w:t>
      </w:r>
      <w:r w:rsidR="006173E0">
        <w:t>worrying</w:t>
      </w:r>
      <w:r w:rsidR="00D62530">
        <w:t xml:space="preserve"> about their academic efficacy</w:t>
      </w:r>
      <w:r w:rsidR="008D635C">
        <w:t xml:space="preserve">. It may also have been that they had not been actively thinking about university level study for </w:t>
      </w:r>
      <w:r w:rsidR="000C10B1">
        <w:t>the period</w:t>
      </w:r>
      <w:r w:rsidR="008D635C">
        <w:t xml:space="preserve"> over their exams</w:t>
      </w:r>
      <w:r w:rsidR="000C10B1">
        <w:t xml:space="preserve"> </w:t>
      </w:r>
      <w:r w:rsidR="008D635C">
        <w:t xml:space="preserve">and so </w:t>
      </w:r>
      <w:r w:rsidR="008B450F">
        <w:t>their confidence in this area had reduced.</w:t>
      </w:r>
    </w:p>
    <w:p w14:paraId="56FF5077" w14:textId="61C14736" w:rsidR="001C28DA" w:rsidRDefault="008B450F" w:rsidP="00F745DF">
      <w:r>
        <w:t>In addition, t</w:t>
      </w:r>
      <w:r w:rsidR="001C28DA">
        <w:t>his could</w:t>
      </w:r>
      <w:r w:rsidR="00E273DF">
        <w:t xml:space="preserve"> also</w:t>
      </w:r>
      <w:r w:rsidR="001C28DA">
        <w:t xml:space="preserve"> be </w:t>
      </w:r>
      <w:r w:rsidR="00B43A41">
        <w:t xml:space="preserve">related to the lack of subject-specific content in the online delivery, as advice provided was more general about higher education. </w:t>
      </w:r>
      <w:r w:rsidR="00770D0C">
        <w:t>Some comments in the final survey mirrored these ideas:</w:t>
      </w:r>
    </w:p>
    <w:p w14:paraId="16257208" w14:textId="341B8B51" w:rsidR="00770D0C" w:rsidRPr="00787A46" w:rsidRDefault="00B65C97" w:rsidP="00654B8F">
      <w:pPr>
        <w:pStyle w:val="ListParagraph"/>
        <w:numPr>
          <w:ilvl w:val="0"/>
          <w:numId w:val="9"/>
        </w:numPr>
        <w:rPr>
          <w:i/>
          <w:iCs/>
          <w:sz w:val="22"/>
          <w:szCs w:val="20"/>
        </w:rPr>
      </w:pPr>
      <w:r w:rsidRPr="00787A46">
        <w:rPr>
          <w:i/>
          <w:iCs/>
          <w:sz w:val="22"/>
          <w:szCs w:val="20"/>
        </w:rPr>
        <w:t xml:space="preserve">(More about the) </w:t>
      </w:r>
      <w:r w:rsidR="00770D0C" w:rsidRPr="00787A46">
        <w:rPr>
          <w:i/>
          <w:iCs/>
          <w:sz w:val="22"/>
          <w:szCs w:val="20"/>
        </w:rPr>
        <w:t>workload and how the style of learning differs from sixth form</w:t>
      </w:r>
    </w:p>
    <w:p w14:paraId="1DFAC2BD" w14:textId="41249202" w:rsidR="00B65C97" w:rsidRPr="00787A46" w:rsidRDefault="00B65C97" w:rsidP="00654B8F">
      <w:pPr>
        <w:pStyle w:val="ListParagraph"/>
        <w:numPr>
          <w:ilvl w:val="0"/>
          <w:numId w:val="9"/>
        </w:numPr>
        <w:rPr>
          <w:i/>
          <w:iCs/>
          <w:sz w:val="22"/>
          <w:szCs w:val="20"/>
        </w:rPr>
      </w:pPr>
      <w:r w:rsidRPr="00787A46">
        <w:rPr>
          <w:i/>
          <w:iCs/>
          <w:sz w:val="22"/>
          <w:szCs w:val="20"/>
        </w:rPr>
        <w:t>A wider variety of resources on the virtual hub</w:t>
      </w:r>
    </w:p>
    <w:p w14:paraId="73A7F1C2" w14:textId="784D5514" w:rsidR="00D21DBB" w:rsidRPr="00787A46" w:rsidRDefault="00B65C97" w:rsidP="00654B8F">
      <w:pPr>
        <w:pStyle w:val="ListParagraph"/>
        <w:numPr>
          <w:ilvl w:val="0"/>
          <w:numId w:val="9"/>
        </w:numPr>
        <w:rPr>
          <w:i/>
          <w:iCs/>
          <w:sz w:val="22"/>
          <w:szCs w:val="20"/>
        </w:rPr>
      </w:pPr>
      <w:r w:rsidRPr="00787A46">
        <w:rPr>
          <w:i/>
          <w:iCs/>
          <w:sz w:val="22"/>
          <w:szCs w:val="20"/>
        </w:rPr>
        <w:t>(Provide) University reading</w:t>
      </w:r>
      <w:r w:rsidR="00E273DF" w:rsidRPr="00787A46">
        <w:rPr>
          <w:i/>
          <w:iCs/>
          <w:sz w:val="22"/>
          <w:szCs w:val="20"/>
        </w:rPr>
        <w:t xml:space="preserve"> lists</w:t>
      </w:r>
      <w:r w:rsidRPr="00787A46">
        <w:rPr>
          <w:i/>
          <w:iCs/>
          <w:sz w:val="22"/>
          <w:szCs w:val="20"/>
        </w:rPr>
        <w:t xml:space="preserve"> and study skills</w:t>
      </w:r>
    </w:p>
    <w:p w14:paraId="423BB808" w14:textId="23F91310" w:rsidR="00E273DF" w:rsidRDefault="00E273DF" w:rsidP="2E32142D">
      <w:r>
        <w:t xml:space="preserve">While the structure of the in-person event seems to have supported </w:t>
      </w:r>
      <w:r w:rsidR="00FB5D26">
        <w:t xml:space="preserve">participants </w:t>
      </w:r>
      <w:r>
        <w:t>confidence in coping with learning in higher education</w:t>
      </w:r>
      <w:r w:rsidR="008B450F">
        <w:t>, thi</w:t>
      </w:r>
      <w:r w:rsidR="001B780B">
        <w:t xml:space="preserve">s was not maintained throughout the programme. In future, the programme should consider ways to support </w:t>
      </w:r>
      <w:r w:rsidR="00FB5D26">
        <w:t xml:space="preserve">participants </w:t>
      </w:r>
      <w:r w:rsidR="001B780B">
        <w:t xml:space="preserve">to feel confident in coping with learning in higher education after their final exams, perhaps by providing some subject specific content, reading lists or </w:t>
      </w:r>
      <w:r w:rsidR="00A4538B">
        <w:t>preparatory</w:t>
      </w:r>
      <w:r w:rsidR="001B780B">
        <w:t xml:space="preserve"> </w:t>
      </w:r>
      <w:r w:rsidR="00A4538B">
        <w:t>support.</w:t>
      </w:r>
    </w:p>
    <w:p w14:paraId="7D2C5250" w14:textId="77777777" w:rsidR="008B450F" w:rsidRPr="00E273DF" w:rsidRDefault="008B450F" w:rsidP="2E32142D"/>
    <w:p w14:paraId="5382C0EB" w14:textId="5367DBF6" w:rsidR="00D21DBB" w:rsidRPr="00AC1F73" w:rsidRDefault="00D21DBB" w:rsidP="2E32142D">
      <w:pPr>
        <w:rPr>
          <w:b/>
          <w:bCs/>
        </w:rPr>
      </w:pPr>
      <w:r w:rsidRPr="00AC1F73">
        <w:rPr>
          <w:b/>
          <w:bCs/>
        </w:rPr>
        <w:t>Concerns</w:t>
      </w:r>
    </w:p>
    <w:p w14:paraId="5673EF5F" w14:textId="1B4A3A5D" w:rsidR="00F65865" w:rsidRDefault="00F65865" w:rsidP="2E32142D">
      <w:r>
        <w:t xml:space="preserve">While </w:t>
      </w:r>
      <w:r w:rsidR="00FB5D26">
        <w:t xml:space="preserve">participants </w:t>
      </w:r>
      <w:r>
        <w:t xml:space="preserve">did report a reduction in their feelings of concern about progression to university, </w:t>
      </w:r>
      <w:r w:rsidR="00FE02CF">
        <w:t xml:space="preserve">these results were not statistically significant. </w:t>
      </w:r>
    </w:p>
    <w:p w14:paraId="51FE6ACA" w14:textId="0A349D97" w:rsidR="00FE02CF" w:rsidRDefault="00FE02CF" w:rsidP="2E32142D">
      <w:r>
        <w:t xml:space="preserve">Similarly to confidence, a bigger effect was recorded from </w:t>
      </w:r>
      <w:r w:rsidR="00032CAF">
        <w:t xml:space="preserve">Group 1, perhaps again suggesting the positive impact of the in-person event. </w:t>
      </w:r>
      <w:r w:rsidR="00FB5D26">
        <w:t xml:space="preserve">Participants’ </w:t>
      </w:r>
      <w:r w:rsidR="00686404">
        <w:t xml:space="preserve">initial reduction </w:t>
      </w:r>
      <w:r w:rsidR="008B1E1F">
        <w:t>of</w:t>
      </w:r>
      <w:r w:rsidR="00686404">
        <w:t xml:space="preserve"> concerns </w:t>
      </w:r>
      <w:r w:rsidR="007122CB">
        <w:t>was</w:t>
      </w:r>
      <w:r w:rsidR="00686404">
        <w:t xml:space="preserve"> not sustained to the same level across the rest of the programme.</w:t>
      </w:r>
    </w:p>
    <w:p w14:paraId="5C09F259" w14:textId="71176B47" w:rsidR="00045EAC" w:rsidRDefault="00045EAC" w:rsidP="2E32142D">
      <w:r>
        <w:t>Some participants corroborated this idea, with survey 2 returning some comments that participants</w:t>
      </w:r>
      <w:r w:rsidR="0025482D">
        <w:t xml:space="preserve"> </w:t>
      </w:r>
      <w:r w:rsidR="004A55EE">
        <w:t xml:space="preserve">found the event provided information to </w:t>
      </w:r>
      <w:r w:rsidR="00F97915">
        <w:t>around areas of</w:t>
      </w:r>
      <w:r w:rsidR="004A55EE">
        <w:t xml:space="preserve"> concerns:</w:t>
      </w:r>
    </w:p>
    <w:p w14:paraId="56F233C9" w14:textId="495C30F9" w:rsidR="004A55EE" w:rsidRPr="008B1E1F" w:rsidRDefault="004A55EE" w:rsidP="00654B8F">
      <w:pPr>
        <w:pStyle w:val="ListParagraph"/>
        <w:numPr>
          <w:ilvl w:val="0"/>
          <w:numId w:val="10"/>
        </w:numPr>
        <w:rPr>
          <w:i/>
          <w:iCs/>
          <w:sz w:val="22"/>
          <w:szCs w:val="20"/>
        </w:rPr>
      </w:pPr>
      <w:r w:rsidRPr="008B1E1F">
        <w:rPr>
          <w:i/>
          <w:iCs/>
          <w:sz w:val="22"/>
          <w:szCs w:val="20"/>
        </w:rPr>
        <w:t>The timeline of events to enrolment (was helpful)</w:t>
      </w:r>
    </w:p>
    <w:p w14:paraId="24B997FD" w14:textId="77777777" w:rsidR="004A55EE" w:rsidRPr="008B1E1F" w:rsidRDefault="004A55EE" w:rsidP="00654B8F">
      <w:pPr>
        <w:pStyle w:val="ListParagraph"/>
        <w:numPr>
          <w:ilvl w:val="0"/>
          <w:numId w:val="10"/>
        </w:numPr>
        <w:rPr>
          <w:i/>
          <w:iCs/>
          <w:sz w:val="22"/>
          <w:szCs w:val="20"/>
        </w:rPr>
      </w:pPr>
      <w:r w:rsidRPr="008B1E1F">
        <w:rPr>
          <w:i/>
          <w:iCs/>
          <w:sz w:val="22"/>
          <w:szCs w:val="20"/>
        </w:rPr>
        <w:t>Talking to the accommodation and disability teams as I didn't realise that accommodation can't be guaranteed to those who put Reading as their insurance choice</w:t>
      </w:r>
    </w:p>
    <w:p w14:paraId="5B98F048" w14:textId="03B02ABD" w:rsidR="00313730" w:rsidRPr="008B1E1F" w:rsidRDefault="00313730" w:rsidP="00654B8F">
      <w:pPr>
        <w:pStyle w:val="ListParagraph"/>
        <w:numPr>
          <w:ilvl w:val="0"/>
          <w:numId w:val="10"/>
        </w:numPr>
        <w:rPr>
          <w:i/>
          <w:iCs/>
          <w:sz w:val="22"/>
          <w:szCs w:val="20"/>
        </w:rPr>
      </w:pPr>
      <w:r w:rsidRPr="008B1E1F">
        <w:rPr>
          <w:i/>
          <w:iCs/>
          <w:sz w:val="22"/>
          <w:szCs w:val="20"/>
        </w:rPr>
        <w:t>The networking session was super helpful and quite insightful as other people voiced questions I hadn't considered</w:t>
      </w:r>
    </w:p>
    <w:p w14:paraId="7F0882F2" w14:textId="72C4EB5D" w:rsidR="004A55EE" w:rsidRPr="008B1E1F" w:rsidRDefault="004A55EE" w:rsidP="00654B8F">
      <w:pPr>
        <w:pStyle w:val="ListParagraph"/>
        <w:numPr>
          <w:ilvl w:val="0"/>
          <w:numId w:val="10"/>
        </w:numPr>
        <w:rPr>
          <w:i/>
          <w:iCs/>
          <w:sz w:val="22"/>
          <w:szCs w:val="20"/>
        </w:rPr>
      </w:pPr>
      <w:r w:rsidRPr="008B1E1F">
        <w:rPr>
          <w:i/>
          <w:iCs/>
          <w:sz w:val="22"/>
          <w:szCs w:val="20"/>
        </w:rPr>
        <w:t>(It was helpful) mapping out key dates for the application process and enrolment.</w:t>
      </w:r>
    </w:p>
    <w:p w14:paraId="72CF448B" w14:textId="77777777" w:rsidR="00EF4684" w:rsidRDefault="00EF4684" w:rsidP="2E32142D"/>
    <w:p w14:paraId="742FC817" w14:textId="4B961FAD" w:rsidR="0079123B" w:rsidRDefault="0079123B" w:rsidP="2E32142D">
      <w:r>
        <w:lastRenderedPageBreak/>
        <w:t xml:space="preserve">In all three surveys throughout the programme, students were given the opportunity to voice </w:t>
      </w:r>
      <w:r w:rsidR="007D7C99">
        <w:t>any concerns they currently held about progression to university. These have been mapped below.</w:t>
      </w:r>
    </w:p>
    <w:p w14:paraId="6995CD29" w14:textId="77777777" w:rsidR="00E6551E" w:rsidRDefault="00E6551E" w:rsidP="2E32142D"/>
    <w:tbl>
      <w:tblPr>
        <w:tblW w:w="0" w:type="auto"/>
        <w:tblCellSpacing w:w="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0"/>
        <w:gridCol w:w="1276"/>
        <w:gridCol w:w="1276"/>
        <w:gridCol w:w="1276"/>
        <w:gridCol w:w="1275"/>
        <w:gridCol w:w="1276"/>
        <w:gridCol w:w="1276"/>
      </w:tblGrid>
      <w:tr w:rsidR="00175227" w:rsidRPr="00175227" w14:paraId="758EC9F6" w14:textId="77777777" w:rsidTr="05539986">
        <w:trPr>
          <w:trHeight w:val="300"/>
          <w:tblHeader/>
          <w:tblCellSpacing w:w="15" w:type="dxa"/>
        </w:trPr>
        <w:tc>
          <w:tcPr>
            <w:tcW w:w="2365" w:type="dxa"/>
            <w:shd w:val="clear" w:color="auto" w:fill="FFFFFF" w:themeFill="background1"/>
            <w:vAlign w:val="center"/>
            <w:hideMark/>
          </w:tcPr>
          <w:p w14:paraId="4D3AC790" w14:textId="77777777" w:rsidR="00175227" w:rsidRPr="00175227" w:rsidRDefault="00175227" w:rsidP="00175227">
            <w:pPr>
              <w:rPr>
                <w:b/>
                <w:bCs/>
              </w:rPr>
            </w:pPr>
            <w:r w:rsidRPr="00175227">
              <w:rPr>
                <w:b/>
                <w:bCs/>
              </w:rPr>
              <w:t>Theme</w:t>
            </w:r>
          </w:p>
        </w:tc>
        <w:tc>
          <w:tcPr>
            <w:tcW w:w="1246" w:type="dxa"/>
            <w:shd w:val="clear" w:color="auto" w:fill="E0E0E1" w:themeFill="background2"/>
            <w:vAlign w:val="center"/>
            <w:hideMark/>
          </w:tcPr>
          <w:p w14:paraId="6306B7A7" w14:textId="77777777" w:rsidR="00175227" w:rsidRPr="00175227" w:rsidRDefault="00175227" w:rsidP="00CF129A">
            <w:pPr>
              <w:jc w:val="center"/>
              <w:rPr>
                <w:b/>
                <w:bCs/>
              </w:rPr>
            </w:pPr>
            <w:r w:rsidRPr="00175227">
              <w:rPr>
                <w:b/>
                <w:bCs/>
              </w:rPr>
              <w:t>Survey 1 Count</w:t>
            </w:r>
          </w:p>
        </w:tc>
        <w:tc>
          <w:tcPr>
            <w:tcW w:w="1246" w:type="dxa"/>
            <w:shd w:val="clear" w:color="auto" w:fill="E0E0E1" w:themeFill="background2"/>
            <w:vAlign w:val="center"/>
            <w:hideMark/>
          </w:tcPr>
          <w:p w14:paraId="13C0616E" w14:textId="77777777" w:rsidR="00175227" w:rsidRPr="00175227" w:rsidRDefault="00175227" w:rsidP="00CF129A">
            <w:pPr>
              <w:jc w:val="center"/>
              <w:rPr>
                <w:b/>
                <w:bCs/>
              </w:rPr>
            </w:pPr>
            <w:r w:rsidRPr="00175227">
              <w:rPr>
                <w:b/>
                <w:bCs/>
              </w:rPr>
              <w:t>Survey 1 %</w:t>
            </w:r>
          </w:p>
        </w:tc>
        <w:tc>
          <w:tcPr>
            <w:tcW w:w="1246" w:type="dxa"/>
            <w:shd w:val="clear" w:color="auto" w:fill="FFFFFF" w:themeFill="background1"/>
            <w:vAlign w:val="center"/>
            <w:hideMark/>
          </w:tcPr>
          <w:p w14:paraId="566671AE" w14:textId="77777777" w:rsidR="00175227" w:rsidRPr="00175227" w:rsidRDefault="00175227" w:rsidP="00CF129A">
            <w:pPr>
              <w:jc w:val="center"/>
              <w:rPr>
                <w:b/>
                <w:bCs/>
              </w:rPr>
            </w:pPr>
            <w:r w:rsidRPr="00175227">
              <w:rPr>
                <w:b/>
                <w:bCs/>
              </w:rPr>
              <w:t>Survey 2 Count</w:t>
            </w:r>
          </w:p>
        </w:tc>
        <w:tc>
          <w:tcPr>
            <w:tcW w:w="1245" w:type="dxa"/>
            <w:shd w:val="clear" w:color="auto" w:fill="FFFFFF" w:themeFill="background1"/>
            <w:vAlign w:val="center"/>
            <w:hideMark/>
          </w:tcPr>
          <w:p w14:paraId="33240D4F" w14:textId="77777777" w:rsidR="00175227" w:rsidRPr="00175227" w:rsidRDefault="00175227" w:rsidP="00CF129A">
            <w:pPr>
              <w:jc w:val="center"/>
              <w:rPr>
                <w:b/>
                <w:bCs/>
              </w:rPr>
            </w:pPr>
            <w:r w:rsidRPr="00175227">
              <w:rPr>
                <w:b/>
                <w:bCs/>
              </w:rPr>
              <w:t>Survey 2 %</w:t>
            </w:r>
          </w:p>
        </w:tc>
        <w:tc>
          <w:tcPr>
            <w:tcW w:w="1246" w:type="dxa"/>
            <w:shd w:val="clear" w:color="auto" w:fill="E0E0E1" w:themeFill="background2"/>
            <w:vAlign w:val="center"/>
            <w:hideMark/>
          </w:tcPr>
          <w:p w14:paraId="091F5529" w14:textId="77777777" w:rsidR="00175227" w:rsidRPr="00175227" w:rsidRDefault="00175227" w:rsidP="00CF129A">
            <w:pPr>
              <w:jc w:val="center"/>
              <w:rPr>
                <w:b/>
                <w:bCs/>
              </w:rPr>
            </w:pPr>
            <w:r w:rsidRPr="00175227">
              <w:rPr>
                <w:b/>
                <w:bCs/>
              </w:rPr>
              <w:t>Survey 3 Count</w:t>
            </w:r>
          </w:p>
        </w:tc>
        <w:tc>
          <w:tcPr>
            <w:tcW w:w="1231" w:type="dxa"/>
            <w:shd w:val="clear" w:color="auto" w:fill="E0E0E1" w:themeFill="background2"/>
            <w:vAlign w:val="center"/>
            <w:hideMark/>
          </w:tcPr>
          <w:p w14:paraId="1212C7FC" w14:textId="77777777" w:rsidR="00175227" w:rsidRPr="00175227" w:rsidRDefault="00175227" w:rsidP="00CF129A">
            <w:pPr>
              <w:jc w:val="center"/>
              <w:rPr>
                <w:b/>
                <w:bCs/>
              </w:rPr>
            </w:pPr>
            <w:r w:rsidRPr="00175227">
              <w:rPr>
                <w:b/>
                <w:bCs/>
              </w:rPr>
              <w:t>Survey 3 %</w:t>
            </w:r>
          </w:p>
        </w:tc>
      </w:tr>
      <w:tr w:rsidR="00175227" w:rsidRPr="00175227" w14:paraId="07FD06DF" w14:textId="77777777" w:rsidTr="05539986">
        <w:trPr>
          <w:trHeight w:val="300"/>
          <w:tblCellSpacing w:w="15" w:type="dxa"/>
        </w:trPr>
        <w:tc>
          <w:tcPr>
            <w:tcW w:w="2365" w:type="dxa"/>
            <w:shd w:val="clear" w:color="auto" w:fill="FFFFFF" w:themeFill="background1"/>
            <w:vAlign w:val="center"/>
            <w:hideMark/>
          </w:tcPr>
          <w:p w14:paraId="01E6E426" w14:textId="77777777" w:rsidR="00175227" w:rsidRPr="00175227" w:rsidRDefault="00175227" w:rsidP="00175227">
            <w:r w:rsidRPr="00175227">
              <w:t>Academic Pressure</w:t>
            </w:r>
          </w:p>
        </w:tc>
        <w:tc>
          <w:tcPr>
            <w:tcW w:w="1246" w:type="dxa"/>
            <w:shd w:val="clear" w:color="auto" w:fill="E0E0E1" w:themeFill="background2"/>
            <w:vAlign w:val="center"/>
            <w:hideMark/>
          </w:tcPr>
          <w:p w14:paraId="11CB2A00" w14:textId="77777777" w:rsidR="00175227" w:rsidRPr="00175227" w:rsidRDefault="00175227" w:rsidP="00CF129A">
            <w:pPr>
              <w:jc w:val="center"/>
            </w:pPr>
            <w:r w:rsidRPr="00175227">
              <w:t>4</w:t>
            </w:r>
          </w:p>
        </w:tc>
        <w:tc>
          <w:tcPr>
            <w:tcW w:w="1246" w:type="dxa"/>
            <w:shd w:val="clear" w:color="auto" w:fill="E0E0E1" w:themeFill="background2"/>
            <w:vAlign w:val="center"/>
            <w:hideMark/>
          </w:tcPr>
          <w:p w14:paraId="3A16EB37" w14:textId="77777777" w:rsidR="00175227" w:rsidRPr="00175227" w:rsidRDefault="00175227" w:rsidP="00CF129A">
            <w:pPr>
              <w:jc w:val="center"/>
            </w:pPr>
            <w:r w:rsidRPr="00175227">
              <w:t>4.7%</w:t>
            </w:r>
          </w:p>
        </w:tc>
        <w:tc>
          <w:tcPr>
            <w:tcW w:w="1246" w:type="dxa"/>
            <w:vAlign w:val="center"/>
            <w:hideMark/>
          </w:tcPr>
          <w:p w14:paraId="1C4A63B7" w14:textId="77777777" w:rsidR="00175227" w:rsidRPr="00175227" w:rsidRDefault="00175227" w:rsidP="00CF129A">
            <w:pPr>
              <w:jc w:val="center"/>
            </w:pPr>
            <w:r w:rsidRPr="00175227">
              <w:t>9</w:t>
            </w:r>
          </w:p>
        </w:tc>
        <w:tc>
          <w:tcPr>
            <w:tcW w:w="1245" w:type="dxa"/>
            <w:vAlign w:val="center"/>
            <w:hideMark/>
          </w:tcPr>
          <w:p w14:paraId="6CE028F0" w14:textId="77777777" w:rsidR="00175227" w:rsidRPr="00175227" w:rsidRDefault="00175227" w:rsidP="00CF129A">
            <w:pPr>
              <w:jc w:val="center"/>
            </w:pPr>
            <w:r w:rsidRPr="00175227">
              <w:t>7.0%</w:t>
            </w:r>
          </w:p>
        </w:tc>
        <w:tc>
          <w:tcPr>
            <w:tcW w:w="1246" w:type="dxa"/>
            <w:shd w:val="clear" w:color="auto" w:fill="E0E0E1" w:themeFill="background2"/>
            <w:vAlign w:val="center"/>
            <w:hideMark/>
          </w:tcPr>
          <w:p w14:paraId="6E8F67A3" w14:textId="77777777" w:rsidR="00175227" w:rsidRPr="00175227" w:rsidRDefault="00175227" w:rsidP="00CF129A">
            <w:pPr>
              <w:jc w:val="center"/>
            </w:pPr>
            <w:r w:rsidRPr="00175227">
              <w:t>3</w:t>
            </w:r>
          </w:p>
        </w:tc>
        <w:tc>
          <w:tcPr>
            <w:tcW w:w="1231" w:type="dxa"/>
            <w:shd w:val="clear" w:color="auto" w:fill="E0E0E1" w:themeFill="background2"/>
            <w:vAlign w:val="center"/>
            <w:hideMark/>
          </w:tcPr>
          <w:p w14:paraId="0E87BA26" w14:textId="77777777" w:rsidR="00175227" w:rsidRPr="00175227" w:rsidRDefault="00175227" w:rsidP="00CF129A">
            <w:pPr>
              <w:jc w:val="center"/>
            </w:pPr>
            <w:r w:rsidRPr="00175227">
              <w:t>6.7%</w:t>
            </w:r>
          </w:p>
        </w:tc>
      </w:tr>
      <w:tr w:rsidR="00175227" w:rsidRPr="00175227" w14:paraId="63960EDB" w14:textId="77777777" w:rsidTr="05539986">
        <w:trPr>
          <w:trHeight w:val="300"/>
          <w:tblCellSpacing w:w="15" w:type="dxa"/>
        </w:trPr>
        <w:tc>
          <w:tcPr>
            <w:tcW w:w="2365" w:type="dxa"/>
            <w:shd w:val="clear" w:color="auto" w:fill="FFFFFF" w:themeFill="background1"/>
            <w:vAlign w:val="center"/>
            <w:hideMark/>
          </w:tcPr>
          <w:p w14:paraId="10FD3BEE" w14:textId="77777777" w:rsidR="00175227" w:rsidRPr="00175227" w:rsidRDefault="00175227" w:rsidP="00175227">
            <w:r w:rsidRPr="00175227">
              <w:t>Accommodation</w:t>
            </w:r>
          </w:p>
        </w:tc>
        <w:tc>
          <w:tcPr>
            <w:tcW w:w="1246" w:type="dxa"/>
            <w:shd w:val="clear" w:color="auto" w:fill="E0E0E1" w:themeFill="background2"/>
            <w:vAlign w:val="center"/>
            <w:hideMark/>
          </w:tcPr>
          <w:p w14:paraId="5DF0E5A9" w14:textId="77777777" w:rsidR="00175227" w:rsidRPr="00175227" w:rsidRDefault="00175227" w:rsidP="00CF129A">
            <w:pPr>
              <w:jc w:val="center"/>
            </w:pPr>
            <w:r w:rsidRPr="00175227">
              <w:t>6</w:t>
            </w:r>
          </w:p>
        </w:tc>
        <w:tc>
          <w:tcPr>
            <w:tcW w:w="1246" w:type="dxa"/>
            <w:shd w:val="clear" w:color="auto" w:fill="E0E0E1" w:themeFill="background2"/>
            <w:vAlign w:val="center"/>
            <w:hideMark/>
          </w:tcPr>
          <w:p w14:paraId="7DA77A2E" w14:textId="77777777" w:rsidR="00175227" w:rsidRPr="00175227" w:rsidRDefault="00175227" w:rsidP="00CF129A">
            <w:pPr>
              <w:jc w:val="center"/>
            </w:pPr>
            <w:r w:rsidRPr="00175227">
              <w:t>7.0%</w:t>
            </w:r>
          </w:p>
        </w:tc>
        <w:tc>
          <w:tcPr>
            <w:tcW w:w="1246" w:type="dxa"/>
            <w:vAlign w:val="center"/>
            <w:hideMark/>
          </w:tcPr>
          <w:p w14:paraId="1D07253C" w14:textId="77777777" w:rsidR="00175227" w:rsidRPr="00175227" w:rsidRDefault="00175227" w:rsidP="00CF129A">
            <w:pPr>
              <w:jc w:val="center"/>
            </w:pPr>
            <w:r w:rsidRPr="00175227">
              <w:t>14</w:t>
            </w:r>
          </w:p>
        </w:tc>
        <w:tc>
          <w:tcPr>
            <w:tcW w:w="1245" w:type="dxa"/>
            <w:vAlign w:val="center"/>
            <w:hideMark/>
          </w:tcPr>
          <w:p w14:paraId="362C1F47" w14:textId="77777777" w:rsidR="00175227" w:rsidRPr="00175227" w:rsidRDefault="00175227" w:rsidP="00CF129A">
            <w:pPr>
              <w:jc w:val="center"/>
            </w:pPr>
            <w:r w:rsidRPr="00175227">
              <w:t>10.9%</w:t>
            </w:r>
          </w:p>
        </w:tc>
        <w:tc>
          <w:tcPr>
            <w:tcW w:w="1246" w:type="dxa"/>
            <w:shd w:val="clear" w:color="auto" w:fill="E0E0E1" w:themeFill="background2"/>
            <w:vAlign w:val="center"/>
            <w:hideMark/>
          </w:tcPr>
          <w:p w14:paraId="55B8AE46" w14:textId="77777777" w:rsidR="00175227" w:rsidRPr="00175227" w:rsidRDefault="00175227" w:rsidP="00CF129A">
            <w:pPr>
              <w:jc w:val="center"/>
            </w:pPr>
            <w:r w:rsidRPr="00175227">
              <w:t>4</w:t>
            </w:r>
          </w:p>
        </w:tc>
        <w:tc>
          <w:tcPr>
            <w:tcW w:w="1231" w:type="dxa"/>
            <w:shd w:val="clear" w:color="auto" w:fill="E0E0E1" w:themeFill="background2"/>
            <w:vAlign w:val="center"/>
            <w:hideMark/>
          </w:tcPr>
          <w:p w14:paraId="29029836" w14:textId="77777777" w:rsidR="00175227" w:rsidRPr="00175227" w:rsidRDefault="00175227" w:rsidP="00CF129A">
            <w:pPr>
              <w:jc w:val="center"/>
            </w:pPr>
            <w:r w:rsidRPr="00175227">
              <w:t>8.9%</w:t>
            </w:r>
          </w:p>
        </w:tc>
      </w:tr>
      <w:tr w:rsidR="00175227" w:rsidRPr="00175227" w14:paraId="0E4FE4DB" w14:textId="77777777" w:rsidTr="05539986">
        <w:trPr>
          <w:trHeight w:val="300"/>
          <w:tblCellSpacing w:w="15" w:type="dxa"/>
        </w:trPr>
        <w:tc>
          <w:tcPr>
            <w:tcW w:w="2365" w:type="dxa"/>
            <w:shd w:val="clear" w:color="auto" w:fill="FFFFFF" w:themeFill="background1"/>
            <w:vAlign w:val="center"/>
            <w:hideMark/>
          </w:tcPr>
          <w:p w14:paraId="0EC4CD17" w14:textId="77777777" w:rsidR="00175227" w:rsidRPr="00175227" w:rsidRDefault="00175227" w:rsidP="00175227">
            <w:r w:rsidRPr="00175227">
              <w:t>Disability / Health</w:t>
            </w:r>
          </w:p>
        </w:tc>
        <w:tc>
          <w:tcPr>
            <w:tcW w:w="1246" w:type="dxa"/>
            <w:shd w:val="clear" w:color="auto" w:fill="E0E0E1" w:themeFill="background2"/>
            <w:vAlign w:val="center"/>
            <w:hideMark/>
          </w:tcPr>
          <w:p w14:paraId="2EFCA38E" w14:textId="77777777" w:rsidR="00175227" w:rsidRPr="00175227" w:rsidRDefault="00175227" w:rsidP="00CF129A">
            <w:pPr>
              <w:jc w:val="center"/>
            </w:pPr>
            <w:r w:rsidRPr="00175227">
              <w:t>1</w:t>
            </w:r>
          </w:p>
        </w:tc>
        <w:tc>
          <w:tcPr>
            <w:tcW w:w="1246" w:type="dxa"/>
            <w:shd w:val="clear" w:color="auto" w:fill="E0E0E1" w:themeFill="background2"/>
            <w:vAlign w:val="center"/>
            <w:hideMark/>
          </w:tcPr>
          <w:p w14:paraId="2D1B3AE8" w14:textId="77777777" w:rsidR="00175227" w:rsidRPr="00175227" w:rsidRDefault="00175227" w:rsidP="00CF129A">
            <w:pPr>
              <w:jc w:val="center"/>
            </w:pPr>
            <w:r w:rsidRPr="00175227">
              <w:t>1.2%</w:t>
            </w:r>
          </w:p>
        </w:tc>
        <w:tc>
          <w:tcPr>
            <w:tcW w:w="1246" w:type="dxa"/>
            <w:vAlign w:val="center"/>
            <w:hideMark/>
          </w:tcPr>
          <w:p w14:paraId="08AF923A" w14:textId="77777777" w:rsidR="00175227" w:rsidRPr="00175227" w:rsidRDefault="00175227" w:rsidP="00CF129A">
            <w:pPr>
              <w:jc w:val="center"/>
            </w:pPr>
            <w:r w:rsidRPr="00175227">
              <w:t>2</w:t>
            </w:r>
          </w:p>
        </w:tc>
        <w:tc>
          <w:tcPr>
            <w:tcW w:w="1245" w:type="dxa"/>
            <w:vAlign w:val="center"/>
            <w:hideMark/>
          </w:tcPr>
          <w:p w14:paraId="52897A89" w14:textId="77777777" w:rsidR="00175227" w:rsidRPr="00175227" w:rsidRDefault="00175227" w:rsidP="00CF129A">
            <w:pPr>
              <w:jc w:val="center"/>
            </w:pPr>
            <w:r w:rsidRPr="00175227">
              <w:t>1.6%</w:t>
            </w:r>
          </w:p>
        </w:tc>
        <w:tc>
          <w:tcPr>
            <w:tcW w:w="1246" w:type="dxa"/>
            <w:shd w:val="clear" w:color="auto" w:fill="E0E0E1" w:themeFill="background2"/>
            <w:vAlign w:val="center"/>
            <w:hideMark/>
          </w:tcPr>
          <w:p w14:paraId="7F2EADD6" w14:textId="77777777" w:rsidR="00175227" w:rsidRPr="00175227" w:rsidRDefault="00175227" w:rsidP="00CF129A">
            <w:pPr>
              <w:jc w:val="center"/>
            </w:pPr>
            <w:r w:rsidRPr="00175227">
              <w:t>2</w:t>
            </w:r>
          </w:p>
        </w:tc>
        <w:tc>
          <w:tcPr>
            <w:tcW w:w="1231" w:type="dxa"/>
            <w:shd w:val="clear" w:color="auto" w:fill="E0E0E1" w:themeFill="background2"/>
            <w:vAlign w:val="center"/>
            <w:hideMark/>
          </w:tcPr>
          <w:p w14:paraId="3CCFE34D" w14:textId="77777777" w:rsidR="00175227" w:rsidRPr="00175227" w:rsidRDefault="00175227" w:rsidP="00CF129A">
            <w:pPr>
              <w:jc w:val="center"/>
            </w:pPr>
            <w:r w:rsidRPr="00175227">
              <w:t>4.4%</w:t>
            </w:r>
          </w:p>
        </w:tc>
      </w:tr>
      <w:tr w:rsidR="00175227" w:rsidRPr="00175227" w14:paraId="51D32A25" w14:textId="77777777" w:rsidTr="05539986">
        <w:trPr>
          <w:trHeight w:val="300"/>
          <w:tblCellSpacing w:w="15" w:type="dxa"/>
        </w:trPr>
        <w:tc>
          <w:tcPr>
            <w:tcW w:w="2365" w:type="dxa"/>
            <w:shd w:val="clear" w:color="auto" w:fill="FFFFFF" w:themeFill="background1"/>
            <w:vAlign w:val="center"/>
            <w:hideMark/>
          </w:tcPr>
          <w:p w14:paraId="2A0B5DE8" w14:textId="77777777" w:rsidR="00175227" w:rsidRPr="00175227" w:rsidRDefault="00175227" w:rsidP="00175227">
            <w:r w:rsidRPr="00175227">
              <w:t>Finance</w:t>
            </w:r>
          </w:p>
        </w:tc>
        <w:tc>
          <w:tcPr>
            <w:tcW w:w="1246" w:type="dxa"/>
            <w:shd w:val="clear" w:color="auto" w:fill="E0E0E1" w:themeFill="background2"/>
            <w:vAlign w:val="center"/>
            <w:hideMark/>
          </w:tcPr>
          <w:p w14:paraId="111E578A" w14:textId="77777777" w:rsidR="00175227" w:rsidRPr="00175227" w:rsidRDefault="00175227" w:rsidP="00CF129A">
            <w:pPr>
              <w:jc w:val="center"/>
            </w:pPr>
            <w:r w:rsidRPr="00175227">
              <w:t>10</w:t>
            </w:r>
          </w:p>
        </w:tc>
        <w:tc>
          <w:tcPr>
            <w:tcW w:w="1246" w:type="dxa"/>
            <w:shd w:val="clear" w:color="auto" w:fill="E0E0E1" w:themeFill="background2"/>
            <w:vAlign w:val="center"/>
            <w:hideMark/>
          </w:tcPr>
          <w:p w14:paraId="5410FCD5" w14:textId="77777777" w:rsidR="00175227" w:rsidRPr="00175227" w:rsidRDefault="00175227" w:rsidP="00CF129A">
            <w:pPr>
              <w:jc w:val="center"/>
            </w:pPr>
            <w:r w:rsidRPr="00175227">
              <w:t>11.6%</w:t>
            </w:r>
          </w:p>
        </w:tc>
        <w:tc>
          <w:tcPr>
            <w:tcW w:w="1246" w:type="dxa"/>
            <w:vAlign w:val="center"/>
            <w:hideMark/>
          </w:tcPr>
          <w:p w14:paraId="2AC05DF5" w14:textId="77777777" w:rsidR="00175227" w:rsidRPr="00175227" w:rsidRDefault="00175227" w:rsidP="00CF129A">
            <w:pPr>
              <w:jc w:val="center"/>
            </w:pPr>
            <w:r w:rsidRPr="00175227">
              <w:t>15</w:t>
            </w:r>
          </w:p>
        </w:tc>
        <w:tc>
          <w:tcPr>
            <w:tcW w:w="1245" w:type="dxa"/>
            <w:vAlign w:val="center"/>
            <w:hideMark/>
          </w:tcPr>
          <w:p w14:paraId="30E14D08" w14:textId="77777777" w:rsidR="00175227" w:rsidRPr="00175227" w:rsidRDefault="00175227" w:rsidP="00CF129A">
            <w:pPr>
              <w:jc w:val="center"/>
            </w:pPr>
            <w:r w:rsidRPr="00175227">
              <w:t>11.6%</w:t>
            </w:r>
          </w:p>
        </w:tc>
        <w:tc>
          <w:tcPr>
            <w:tcW w:w="1246" w:type="dxa"/>
            <w:shd w:val="clear" w:color="auto" w:fill="E0E0E1" w:themeFill="background2"/>
            <w:vAlign w:val="center"/>
            <w:hideMark/>
          </w:tcPr>
          <w:p w14:paraId="4E54FB41" w14:textId="77777777" w:rsidR="00175227" w:rsidRPr="00175227" w:rsidRDefault="00175227" w:rsidP="00CF129A">
            <w:pPr>
              <w:jc w:val="center"/>
            </w:pPr>
            <w:r w:rsidRPr="00175227">
              <w:t>8</w:t>
            </w:r>
          </w:p>
        </w:tc>
        <w:tc>
          <w:tcPr>
            <w:tcW w:w="1231" w:type="dxa"/>
            <w:shd w:val="clear" w:color="auto" w:fill="E0E0E1" w:themeFill="background2"/>
            <w:vAlign w:val="center"/>
            <w:hideMark/>
          </w:tcPr>
          <w:p w14:paraId="2D37D42A" w14:textId="77777777" w:rsidR="00175227" w:rsidRPr="00175227" w:rsidRDefault="00175227" w:rsidP="00CF129A">
            <w:pPr>
              <w:jc w:val="center"/>
            </w:pPr>
            <w:r w:rsidRPr="00175227">
              <w:t>17.8%</w:t>
            </w:r>
          </w:p>
        </w:tc>
      </w:tr>
      <w:tr w:rsidR="00175227" w:rsidRPr="00175227" w14:paraId="344D2630" w14:textId="77777777" w:rsidTr="05539986">
        <w:trPr>
          <w:trHeight w:val="300"/>
          <w:tblCellSpacing w:w="15" w:type="dxa"/>
        </w:trPr>
        <w:tc>
          <w:tcPr>
            <w:tcW w:w="2365" w:type="dxa"/>
            <w:shd w:val="clear" w:color="auto" w:fill="FFFFFF" w:themeFill="background1"/>
            <w:vAlign w:val="center"/>
            <w:hideMark/>
          </w:tcPr>
          <w:p w14:paraId="2D04B3F2" w14:textId="77777777" w:rsidR="00175227" w:rsidRPr="00175227" w:rsidRDefault="00175227" w:rsidP="00175227">
            <w:r w:rsidRPr="00175227">
              <w:t>Social Concerns</w:t>
            </w:r>
          </w:p>
        </w:tc>
        <w:tc>
          <w:tcPr>
            <w:tcW w:w="1246" w:type="dxa"/>
            <w:shd w:val="clear" w:color="auto" w:fill="E0E0E1" w:themeFill="background2"/>
            <w:vAlign w:val="center"/>
            <w:hideMark/>
          </w:tcPr>
          <w:p w14:paraId="287810F9" w14:textId="77777777" w:rsidR="00175227" w:rsidRPr="00175227" w:rsidRDefault="00175227" w:rsidP="00CF129A">
            <w:pPr>
              <w:jc w:val="center"/>
            </w:pPr>
            <w:r w:rsidRPr="00175227">
              <w:t>5</w:t>
            </w:r>
          </w:p>
        </w:tc>
        <w:tc>
          <w:tcPr>
            <w:tcW w:w="1246" w:type="dxa"/>
            <w:shd w:val="clear" w:color="auto" w:fill="E0E0E1" w:themeFill="background2"/>
            <w:vAlign w:val="center"/>
            <w:hideMark/>
          </w:tcPr>
          <w:p w14:paraId="212FF3EE" w14:textId="77777777" w:rsidR="00175227" w:rsidRPr="00175227" w:rsidRDefault="00175227" w:rsidP="00CF129A">
            <w:pPr>
              <w:jc w:val="center"/>
            </w:pPr>
            <w:r w:rsidRPr="00175227">
              <w:t>5.8%</w:t>
            </w:r>
          </w:p>
        </w:tc>
        <w:tc>
          <w:tcPr>
            <w:tcW w:w="1246" w:type="dxa"/>
            <w:vAlign w:val="center"/>
            <w:hideMark/>
          </w:tcPr>
          <w:p w14:paraId="47ADB246" w14:textId="77777777" w:rsidR="00175227" w:rsidRPr="00175227" w:rsidRDefault="00175227" w:rsidP="00CF129A">
            <w:pPr>
              <w:jc w:val="center"/>
            </w:pPr>
            <w:r w:rsidRPr="00175227">
              <w:t>4</w:t>
            </w:r>
          </w:p>
        </w:tc>
        <w:tc>
          <w:tcPr>
            <w:tcW w:w="1245" w:type="dxa"/>
            <w:vAlign w:val="center"/>
            <w:hideMark/>
          </w:tcPr>
          <w:p w14:paraId="6D9D05D6" w14:textId="77777777" w:rsidR="00175227" w:rsidRPr="00175227" w:rsidRDefault="00175227" w:rsidP="00CF129A">
            <w:pPr>
              <w:jc w:val="center"/>
            </w:pPr>
            <w:r w:rsidRPr="00175227">
              <w:t>3.1%</w:t>
            </w:r>
          </w:p>
        </w:tc>
        <w:tc>
          <w:tcPr>
            <w:tcW w:w="1246" w:type="dxa"/>
            <w:shd w:val="clear" w:color="auto" w:fill="E0E0E1" w:themeFill="background2"/>
            <w:vAlign w:val="center"/>
            <w:hideMark/>
          </w:tcPr>
          <w:p w14:paraId="3BF5DDDA" w14:textId="77777777" w:rsidR="00175227" w:rsidRPr="00175227" w:rsidRDefault="00175227" w:rsidP="00CF129A">
            <w:pPr>
              <w:jc w:val="center"/>
            </w:pPr>
            <w:r w:rsidRPr="00175227">
              <w:t>4</w:t>
            </w:r>
          </w:p>
        </w:tc>
        <w:tc>
          <w:tcPr>
            <w:tcW w:w="1231" w:type="dxa"/>
            <w:shd w:val="clear" w:color="auto" w:fill="E0E0E1" w:themeFill="background2"/>
            <w:vAlign w:val="center"/>
            <w:hideMark/>
          </w:tcPr>
          <w:p w14:paraId="624CB874" w14:textId="77777777" w:rsidR="00175227" w:rsidRPr="00175227" w:rsidRDefault="00175227" w:rsidP="00CF129A">
            <w:pPr>
              <w:jc w:val="center"/>
            </w:pPr>
            <w:r w:rsidRPr="00175227">
              <w:t>8.9%</w:t>
            </w:r>
          </w:p>
        </w:tc>
      </w:tr>
      <w:tr w:rsidR="00175227" w:rsidRPr="00175227" w14:paraId="596F9E4C" w14:textId="77777777" w:rsidTr="05539986">
        <w:trPr>
          <w:trHeight w:val="300"/>
          <w:tblCellSpacing w:w="15" w:type="dxa"/>
        </w:trPr>
        <w:tc>
          <w:tcPr>
            <w:tcW w:w="2365" w:type="dxa"/>
            <w:shd w:val="clear" w:color="auto" w:fill="FFFFFF" w:themeFill="background1"/>
            <w:vAlign w:val="center"/>
            <w:hideMark/>
          </w:tcPr>
          <w:p w14:paraId="0EBED66F" w14:textId="77777777" w:rsidR="00175227" w:rsidRPr="00175227" w:rsidRDefault="00175227" w:rsidP="00175227">
            <w:r w:rsidRPr="00175227">
              <w:t>Transition / Anxiety</w:t>
            </w:r>
          </w:p>
        </w:tc>
        <w:tc>
          <w:tcPr>
            <w:tcW w:w="1246" w:type="dxa"/>
            <w:shd w:val="clear" w:color="auto" w:fill="E0E0E1" w:themeFill="background2"/>
            <w:vAlign w:val="center"/>
            <w:hideMark/>
          </w:tcPr>
          <w:p w14:paraId="4A350F61" w14:textId="77777777" w:rsidR="00175227" w:rsidRPr="00175227" w:rsidRDefault="00175227" w:rsidP="00CF129A">
            <w:pPr>
              <w:jc w:val="center"/>
            </w:pPr>
            <w:r w:rsidRPr="00175227">
              <w:t>5</w:t>
            </w:r>
          </w:p>
        </w:tc>
        <w:tc>
          <w:tcPr>
            <w:tcW w:w="1246" w:type="dxa"/>
            <w:shd w:val="clear" w:color="auto" w:fill="E0E0E1" w:themeFill="background2"/>
            <w:vAlign w:val="center"/>
            <w:hideMark/>
          </w:tcPr>
          <w:p w14:paraId="709BD8C6" w14:textId="77777777" w:rsidR="00175227" w:rsidRPr="00175227" w:rsidRDefault="00175227" w:rsidP="00CF129A">
            <w:pPr>
              <w:jc w:val="center"/>
            </w:pPr>
            <w:r w:rsidRPr="00175227">
              <w:t>5.8%</w:t>
            </w:r>
          </w:p>
        </w:tc>
        <w:tc>
          <w:tcPr>
            <w:tcW w:w="1246" w:type="dxa"/>
            <w:vAlign w:val="center"/>
            <w:hideMark/>
          </w:tcPr>
          <w:p w14:paraId="25D80A49" w14:textId="77777777" w:rsidR="00175227" w:rsidRPr="00175227" w:rsidRDefault="00175227" w:rsidP="00CF129A">
            <w:pPr>
              <w:jc w:val="center"/>
            </w:pPr>
            <w:r w:rsidRPr="00175227">
              <w:t>5</w:t>
            </w:r>
          </w:p>
        </w:tc>
        <w:tc>
          <w:tcPr>
            <w:tcW w:w="1245" w:type="dxa"/>
            <w:vAlign w:val="center"/>
            <w:hideMark/>
          </w:tcPr>
          <w:p w14:paraId="6C0F4ACA" w14:textId="77777777" w:rsidR="00175227" w:rsidRPr="00175227" w:rsidRDefault="00175227" w:rsidP="00CF129A">
            <w:pPr>
              <w:jc w:val="center"/>
            </w:pPr>
            <w:r w:rsidRPr="00175227">
              <w:t>3.9%</w:t>
            </w:r>
          </w:p>
        </w:tc>
        <w:tc>
          <w:tcPr>
            <w:tcW w:w="1246" w:type="dxa"/>
            <w:shd w:val="clear" w:color="auto" w:fill="E0E0E1" w:themeFill="background2"/>
            <w:vAlign w:val="center"/>
            <w:hideMark/>
          </w:tcPr>
          <w:p w14:paraId="21B51109" w14:textId="77777777" w:rsidR="00175227" w:rsidRPr="00175227" w:rsidRDefault="00175227" w:rsidP="00CF129A">
            <w:pPr>
              <w:jc w:val="center"/>
            </w:pPr>
            <w:r w:rsidRPr="00175227">
              <w:t>0</w:t>
            </w:r>
          </w:p>
        </w:tc>
        <w:tc>
          <w:tcPr>
            <w:tcW w:w="1231" w:type="dxa"/>
            <w:shd w:val="clear" w:color="auto" w:fill="E0E0E1" w:themeFill="background2"/>
            <w:vAlign w:val="center"/>
            <w:hideMark/>
          </w:tcPr>
          <w:p w14:paraId="3A5B3E3E" w14:textId="77777777" w:rsidR="00175227" w:rsidRPr="00175227" w:rsidRDefault="00175227" w:rsidP="00CF129A">
            <w:pPr>
              <w:jc w:val="center"/>
            </w:pPr>
            <w:r w:rsidRPr="00175227">
              <w:t>0.0%</w:t>
            </w:r>
          </w:p>
        </w:tc>
      </w:tr>
    </w:tbl>
    <w:p w14:paraId="076E219B" w14:textId="77777777" w:rsidR="007D7C99" w:rsidRDefault="007D7C99" w:rsidP="2E32142D">
      <w:pPr>
        <w:rPr>
          <w:b/>
          <w:bCs/>
        </w:rPr>
      </w:pPr>
    </w:p>
    <w:p w14:paraId="7C68FCA5" w14:textId="753A3742" w:rsidR="007657A3" w:rsidRPr="007657A3" w:rsidRDefault="007657A3" w:rsidP="2E32142D">
      <w:r>
        <w:t xml:space="preserve">This feedback from </w:t>
      </w:r>
      <w:r w:rsidR="00D1136E">
        <w:t>participants</w:t>
      </w:r>
      <w:r>
        <w:t xml:space="preserve"> could allow future iterations of the programme to more accurately </w:t>
      </w:r>
      <w:r w:rsidR="00540665">
        <w:t xml:space="preserve">support students in their transition to university over time. </w:t>
      </w:r>
      <w:r w:rsidR="00415BB3">
        <w:t>This year’s programme did not always ma</w:t>
      </w:r>
      <w:r w:rsidR="003B7B04">
        <w:t>tch</w:t>
      </w:r>
      <w:r w:rsidR="00415BB3">
        <w:t xml:space="preserve"> effectively to these concerns</w:t>
      </w:r>
      <w:r w:rsidR="003B7B04">
        <w:t>. F</w:t>
      </w:r>
      <w:r w:rsidR="00415BB3">
        <w:t>or example</w:t>
      </w:r>
      <w:r w:rsidR="003B7B04">
        <w:t>,</w:t>
      </w:r>
      <w:r w:rsidR="00415BB3">
        <w:t xml:space="preserve"> focus on student finance significantly reduced after the student finance deadline passed in May. However, this data suggests </w:t>
      </w:r>
      <w:r w:rsidR="00D1136E">
        <w:t>participants</w:t>
      </w:r>
      <w:r w:rsidR="00415BB3">
        <w:t xml:space="preserve"> were still concerned about the financial implications of university </w:t>
      </w:r>
      <w:r w:rsidR="002216BB">
        <w:t>months after this and so the programme should consider how to continue provision of information in this area in the later stages of the programme.</w:t>
      </w:r>
    </w:p>
    <w:p w14:paraId="0FEA4ACE" w14:textId="77777777" w:rsidR="007D7C99" w:rsidRDefault="007D7C99" w:rsidP="2E32142D"/>
    <w:p w14:paraId="1748E8C8" w14:textId="4D6D196F" w:rsidR="00D1136E" w:rsidRDefault="00D1136E" w:rsidP="2E32142D">
      <w:r>
        <w:t>Similarly, we can gain some insight into what participants</w:t>
      </w:r>
      <w:r w:rsidR="0040788B">
        <w:t xml:space="preserve"> held concerns about at points in the programme, based on how they responded to </w:t>
      </w:r>
      <w:r w:rsidR="00A01A50">
        <w:t>questions about topics they would like covered in the remaining time of the programme.</w:t>
      </w:r>
    </w:p>
    <w:p w14:paraId="0E19ACFF" w14:textId="77777777" w:rsidR="00550BA9" w:rsidRDefault="00550BA9" w:rsidP="2E32142D"/>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3"/>
        <w:gridCol w:w="1286"/>
        <w:gridCol w:w="1084"/>
        <w:gridCol w:w="1286"/>
        <w:gridCol w:w="1084"/>
        <w:gridCol w:w="1286"/>
        <w:gridCol w:w="1099"/>
      </w:tblGrid>
      <w:tr w:rsidR="004205E2" w:rsidRPr="004205E2" w14:paraId="74A23483" w14:textId="77777777" w:rsidTr="004205E2">
        <w:trPr>
          <w:tblHeader/>
          <w:tblCellSpacing w:w="15" w:type="dxa"/>
        </w:trPr>
        <w:tc>
          <w:tcPr>
            <w:tcW w:w="0" w:type="auto"/>
            <w:vAlign w:val="center"/>
            <w:hideMark/>
          </w:tcPr>
          <w:p w14:paraId="57BDA522" w14:textId="77777777" w:rsidR="004205E2" w:rsidRPr="004205E2" w:rsidRDefault="004205E2" w:rsidP="004205E2">
            <w:pPr>
              <w:rPr>
                <w:b/>
                <w:bCs/>
              </w:rPr>
            </w:pPr>
            <w:r w:rsidRPr="004205E2">
              <w:rPr>
                <w:b/>
                <w:bCs/>
              </w:rPr>
              <w:t>Theme</w:t>
            </w:r>
          </w:p>
        </w:tc>
        <w:tc>
          <w:tcPr>
            <w:tcW w:w="0" w:type="auto"/>
            <w:shd w:val="clear" w:color="auto" w:fill="E0E0E1" w:themeFill="background2"/>
            <w:vAlign w:val="center"/>
            <w:hideMark/>
          </w:tcPr>
          <w:p w14:paraId="2174F8C6" w14:textId="77777777" w:rsidR="004205E2" w:rsidRPr="004205E2" w:rsidRDefault="004205E2" w:rsidP="00CF129A">
            <w:pPr>
              <w:jc w:val="center"/>
              <w:rPr>
                <w:b/>
                <w:bCs/>
              </w:rPr>
            </w:pPr>
            <w:r w:rsidRPr="004205E2">
              <w:rPr>
                <w:b/>
                <w:bCs/>
              </w:rPr>
              <w:t>Survey 1 Count</w:t>
            </w:r>
          </w:p>
        </w:tc>
        <w:tc>
          <w:tcPr>
            <w:tcW w:w="0" w:type="auto"/>
            <w:shd w:val="clear" w:color="auto" w:fill="E0E0E1" w:themeFill="background2"/>
            <w:vAlign w:val="center"/>
            <w:hideMark/>
          </w:tcPr>
          <w:p w14:paraId="1F787B3B" w14:textId="77777777" w:rsidR="004205E2" w:rsidRPr="004205E2" w:rsidRDefault="004205E2" w:rsidP="00CF129A">
            <w:pPr>
              <w:jc w:val="center"/>
              <w:rPr>
                <w:b/>
                <w:bCs/>
              </w:rPr>
            </w:pPr>
            <w:r w:rsidRPr="004205E2">
              <w:rPr>
                <w:b/>
                <w:bCs/>
              </w:rPr>
              <w:t>Survey 1 %</w:t>
            </w:r>
          </w:p>
        </w:tc>
        <w:tc>
          <w:tcPr>
            <w:tcW w:w="0" w:type="auto"/>
            <w:vAlign w:val="center"/>
            <w:hideMark/>
          </w:tcPr>
          <w:p w14:paraId="6C1C3BDB" w14:textId="77777777" w:rsidR="004205E2" w:rsidRPr="004205E2" w:rsidRDefault="004205E2" w:rsidP="00CF129A">
            <w:pPr>
              <w:jc w:val="center"/>
              <w:rPr>
                <w:b/>
                <w:bCs/>
              </w:rPr>
            </w:pPr>
            <w:r w:rsidRPr="004205E2">
              <w:rPr>
                <w:b/>
                <w:bCs/>
              </w:rPr>
              <w:t>Survey 2 Count</w:t>
            </w:r>
          </w:p>
        </w:tc>
        <w:tc>
          <w:tcPr>
            <w:tcW w:w="0" w:type="auto"/>
            <w:vAlign w:val="center"/>
            <w:hideMark/>
          </w:tcPr>
          <w:p w14:paraId="12312DF5" w14:textId="77777777" w:rsidR="004205E2" w:rsidRPr="004205E2" w:rsidRDefault="004205E2" w:rsidP="00CF129A">
            <w:pPr>
              <w:jc w:val="center"/>
              <w:rPr>
                <w:b/>
                <w:bCs/>
              </w:rPr>
            </w:pPr>
            <w:r w:rsidRPr="004205E2">
              <w:rPr>
                <w:b/>
                <w:bCs/>
              </w:rPr>
              <w:t>Survey 2 %</w:t>
            </w:r>
          </w:p>
        </w:tc>
        <w:tc>
          <w:tcPr>
            <w:tcW w:w="0" w:type="auto"/>
            <w:shd w:val="clear" w:color="auto" w:fill="E0E0E1" w:themeFill="background2"/>
            <w:vAlign w:val="center"/>
            <w:hideMark/>
          </w:tcPr>
          <w:p w14:paraId="03BCCAFA" w14:textId="77777777" w:rsidR="004205E2" w:rsidRPr="004205E2" w:rsidRDefault="004205E2" w:rsidP="00CF129A">
            <w:pPr>
              <w:jc w:val="center"/>
              <w:rPr>
                <w:b/>
                <w:bCs/>
              </w:rPr>
            </w:pPr>
            <w:r w:rsidRPr="004205E2">
              <w:rPr>
                <w:b/>
                <w:bCs/>
              </w:rPr>
              <w:t>Survey 3 Count</w:t>
            </w:r>
          </w:p>
        </w:tc>
        <w:tc>
          <w:tcPr>
            <w:tcW w:w="0" w:type="auto"/>
            <w:shd w:val="clear" w:color="auto" w:fill="E0E0E1" w:themeFill="background2"/>
            <w:vAlign w:val="center"/>
            <w:hideMark/>
          </w:tcPr>
          <w:p w14:paraId="7CC38A6B" w14:textId="77777777" w:rsidR="004205E2" w:rsidRPr="004205E2" w:rsidRDefault="004205E2" w:rsidP="00CF129A">
            <w:pPr>
              <w:jc w:val="center"/>
              <w:rPr>
                <w:b/>
                <w:bCs/>
              </w:rPr>
            </w:pPr>
            <w:r w:rsidRPr="004205E2">
              <w:rPr>
                <w:b/>
                <w:bCs/>
              </w:rPr>
              <w:t>Survey 3 %</w:t>
            </w:r>
          </w:p>
        </w:tc>
      </w:tr>
      <w:tr w:rsidR="004205E2" w:rsidRPr="004205E2" w14:paraId="2891A717" w14:textId="77777777" w:rsidTr="004205E2">
        <w:trPr>
          <w:tblCellSpacing w:w="15" w:type="dxa"/>
        </w:trPr>
        <w:tc>
          <w:tcPr>
            <w:tcW w:w="0" w:type="auto"/>
            <w:vAlign w:val="center"/>
            <w:hideMark/>
          </w:tcPr>
          <w:p w14:paraId="0DC5795C" w14:textId="77777777" w:rsidR="004205E2" w:rsidRPr="004205E2" w:rsidRDefault="004205E2" w:rsidP="004205E2">
            <w:r w:rsidRPr="004205E2">
              <w:t>Academic Skills</w:t>
            </w:r>
          </w:p>
        </w:tc>
        <w:tc>
          <w:tcPr>
            <w:tcW w:w="0" w:type="auto"/>
            <w:shd w:val="clear" w:color="auto" w:fill="E0E0E1" w:themeFill="background2"/>
            <w:vAlign w:val="center"/>
            <w:hideMark/>
          </w:tcPr>
          <w:p w14:paraId="6BCD63F5" w14:textId="77777777" w:rsidR="004205E2" w:rsidRPr="004205E2" w:rsidRDefault="004205E2" w:rsidP="00CF129A">
            <w:pPr>
              <w:jc w:val="center"/>
            </w:pPr>
            <w:r w:rsidRPr="004205E2">
              <w:t>1</w:t>
            </w:r>
          </w:p>
        </w:tc>
        <w:tc>
          <w:tcPr>
            <w:tcW w:w="0" w:type="auto"/>
            <w:shd w:val="clear" w:color="auto" w:fill="E0E0E1" w:themeFill="background2"/>
            <w:vAlign w:val="center"/>
            <w:hideMark/>
          </w:tcPr>
          <w:p w14:paraId="4180AE48" w14:textId="77777777" w:rsidR="004205E2" w:rsidRPr="004205E2" w:rsidRDefault="004205E2" w:rsidP="00CF129A">
            <w:pPr>
              <w:jc w:val="center"/>
            </w:pPr>
            <w:r w:rsidRPr="004205E2">
              <w:t>1.2%</w:t>
            </w:r>
          </w:p>
        </w:tc>
        <w:tc>
          <w:tcPr>
            <w:tcW w:w="0" w:type="auto"/>
            <w:vAlign w:val="center"/>
            <w:hideMark/>
          </w:tcPr>
          <w:p w14:paraId="00AAD8CD" w14:textId="77777777" w:rsidR="004205E2" w:rsidRPr="004205E2" w:rsidRDefault="004205E2" w:rsidP="00CF129A">
            <w:pPr>
              <w:jc w:val="center"/>
            </w:pPr>
            <w:r w:rsidRPr="004205E2">
              <w:t>10</w:t>
            </w:r>
          </w:p>
        </w:tc>
        <w:tc>
          <w:tcPr>
            <w:tcW w:w="0" w:type="auto"/>
            <w:vAlign w:val="center"/>
            <w:hideMark/>
          </w:tcPr>
          <w:p w14:paraId="354BDF61" w14:textId="77777777" w:rsidR="004205E2" w:rsidRPr="004205E2" w:rsidRDefault="004205E2" w:rsidP="00CF129A">
            <w:pPr>
              <w:jc w:val="center"/>
            </w:pPr>
            <w:r w:rsidRPr="004205E2">
              <w:t>7.8%</w:t>
            </w:r>
          </w:p>
        </w:tc>
        <w:tc>
          <w:tcPr>
            <w:tcW w:w="0" w:type="auto"/>
            <w:shd w:val="clear" w:color="auto" w:fill="E0E0E1" w:themeFill="background2"/>
            <w:vAlign w:val="center"/>
            <w:hideMark/>
          </w:tcPr>
          <w:p w14:paraId="3AC55AD7" w14:textId="77777777" w:rsidR="004205E2" w:rsidRPr="004205E2" w:rsidRDefault="004205E2" w:rsidP="00CF129A">
            <w:pPr>
              <w:jc w:val="center"/>
            </w:pPr>
            <w:r w:rsidRPr="004205E2">
              <w:t>1</w:t>
            </w:r>
          </w:p>
        </w:tc>
        <w:tc>
          <w:tcPr>
            <w:tcW w:w="0" w:type="auto"/>
            <w:shd w:val="clear" w:color="auto" w:fill="E0E0E1" w:themeFill="background2"/>
            <w:vAlign w:val="center"/>
            <w:hideMark/>
          </w:tcPr>
          <w:p w14:paraId="403ABDD7" w14:textId="77777777" w:rsidR="004205E2" w:rsidRPr="004205E2" w:rsidRDefault="004205E2" w:rsidP="00CF129A">
            <w:pPr>
              <w:jc w:val="center"/>
            </w:pPr>
            <w:r w:rsidRPr="004205E2">
              <w:t>2.2%</w:t>
            </w:r>
          </w:p>
        </w:tc>
      </w:tr>
      <w:tr w:rsidR="004205E2" w:rsidRPr="004205E2" w14:paraId="01FE5D9C" w14:textId="77777777" w:rsidTr="004205E2">
        <w:trPr>
          <w:tblCellSpacing w:w="15" w:type="dxa"/>
        </w:trPr>
        <w:tc>
          <w:tcPr>
            <w:tcW w:w="0" w:type="auto"/>
            <w:vAlign w:val="center"/>
            <w:hideMark/>
          </w:tcPr>
          <w:p w14:paraId="76C3E9DB" w14:textId="77777777" w:rsidR="004205E2" w:rsidRPr="004205E2" w:rsidRDefault="004205E2" w:rsidP="004205E2">
            <w:r w:rsidRPr="004205E2">
              <w:t>Accommodation</w:t>
            </w:r>
          </w:p>
        </w:tc>
        <w:tc>
          <w:tcPr>
            <w:tcW w:w="0" w:type="auto"/>
            <w:shd w:val="clear" w:color="auto" w:fill="E0E0E1" w:themeFill="background2"/>
            <w:vAlign w:val="center"/>
            <w:hideMark/>
          </w:tcPr>
          <w:p w14:paraId="54EF61DB" w14:textId="77777777" w:rsidR="004205E2" w:rsidRPr="004205E2" w:rsidRDefault="004205E2" w:rsidP="00CF129A">
            <w:pPr>
              <w:jc w:val="center"/>
            </w:pPr>
            <w:r w:rsidRPr="004205E2">
              <w:t>3</w:t>
            </w:r>
          </w:p>
        </w:tc>
        <w:tc>
          <w:tcPr>
            <w:tcW w:w="0" w:type="auto"/>
            <w:shd w:val="clear" w:color="auto" w:fill="E0E0E1" w:themeFill="background2"/>
            <w:vAlign w:val="center"/>
            <w:hideMark/>
          </w:tcPr>
          <w:p w14:paraId="7E89EC97" w14:textId="77777777" w:rsidR="004205E2" w:rsidRPr="004205E2" w:rsidRDefault="004205E2" w:rsidP="00CF129A">
            <w:pPr>
              <w:jc w:val="center"/>
            </w:pPr>
            <w:r w:rsidRPr="004205E2">
              <w:t>3.5%</w:t>
            </w:r>
          </w:p>
        </w:tc>
        <w:tc>
          <w:tcPr>
            <w:tcW w:w="0" w:type="auto"/>
            <w:vAlign w:val="center"/>
            <w:hideMark/>
          </w:tcPr>
          <w:p w14:paraId="0C465B7D" w14:textId="77777777" w:rsidR="004205E2" w:rsidRPr="004205E2" w:rsidRDefault="004205E2" w:rsidP="00CF129A">
            <w:pPr>
              <w:jc w:val="center"/>
            </w:pPr>
            <w:r w:rsidRPr="004205E2">
              <w:t>12</w:t>
            </w:r>
          </w:p>
        </w:tc>
        <w:tc>
          <w:tcPr>
            <w:tcW w:w="0" w:type="auto"/>
            <w:vAlign w:val="center"/>
            <w:hideMark/>
          </w:tcPr>
          <w:p w14:paraId="02307CFE" w14:textId="77777777" w:rsidR="004205E2" w:rsidRPr="004205E2" w:rsidRDefault="004205E2" w:rsidP="00CF129A">
            <w:pPr>
              <w:jc w:val="center"/>
            </w:pPr>
            <w:r w:rsidRPr="004205E2">
              <w:t>9.3%</w:t>
            </w:r>
          </w:p>
        </w:tc>
        <w:tc>
          <w:tcPr>
            <w:tcW w:w="0" w:type="auto"/>
            <w:shd w:val="clear" w:color="auto" w:fill="E0E0E1" w:themeFill="background2"/>
            <w:vAlign w:val="center"/>
            <w:hideMark/>
          </w:tcPr>
          <w:p w14:paraId="1937C0B1" w14:textId="77777777" w:rsidR="004205E2" w:rsidRPr="004205E2" w:rsidRDefault="004205E2" w:rsidP="00CF129A">
            <w:pPr>
              <w:jc w:val="center"/>
            </w:pPr>
            <w:r w:rsidRPr="004205E2">
              <w:t>3</w:t>
            </w:r>
          </w:p>
        </w:tc>
        <w:tc>
          <w:tcPr>
            <w:tcW w:w="0" w:type="auto"/>
            <w:shd w:val="clear" w:color="auto" w:fill="E0E0E1" w:themeFill="background2"/>
            <w:vAlign w:val="center"/>
            <w:hideMark/>
          </w:tcPr>
          <w:p w14:paraId="0AE8046C" w14:textId="77777777" w:rsidR="004205E2" w:rsidRPr="004205E2" w:rsidRDefault="004205E2" w:rsidP="00CF129A">
            <w:pPr>
              <w:jc w:val="center"/>
            </w:pPr>
            <w:r w:rsidRPr="004205E2">
              <w:t>6.7%</w:t>
            </w:r>
          </w:p>
        </w:tc>
      </w:tr>
      <w:tr w:rsidR="004205E2" w:rsidRPr="004205E2" w14:paraId="0B73AE91" w14:textId="77777777" w:rsidTr="004205E2">
        <w:trPr>
          <w:tblCellSpacing w:w="15" w:type="dxa"/>
        </w:trPr>
        <w:tc>
          <w:tcPr>
            <w:tcW w:w="0" w:type="auto"/>
            <w:vAlign w:val="center"/>
            <w:hideMark/>
          </w:tcPr>
          <w:p w14:paraId="1659C9E5" w14:textId="77777777" w:rsidR="004205E2" w:rsidRPr="004205E2" w:rsidRDefault="004205E2" w:rsidP="004205E2">
            <w:r w:rsidRPr="004205E2">
              <w:t>Campus Life / Clubs</w:t>
            </w:r>
          </w:p>
        </w:tc>
        <w:tc>
          <w:tcPr>
            <w:tcW w:w="0" w:type="auto"/>
            <w:shd w:val="clear" w:color="auto" w:fill="E0E0E1" w:themeFill="background2"/>
            <w:vAlign w:val="center"/>
            <w:hideMark/>
          </w:tcPr>
          <w:p w14:paraId="0DA30DB8" w14:textId="77777777" w:rsidR="004205E2" w:rsidRPr="004205E2" w:rsidRDefault="004205E2" w:rsidP="00CF129A">
            <w:pPr>
              <w:jc w:val="center"/>
            </w:pPr>
            <w:r w:rsidRPr="004205E2">
              <w:t>1</w:t>
            </w:r>
          </w:p>
        </w:tc>
        <w:tc>
          <w:tcPr>
            <w:tcW w:w="0" w:type="auto"/>
            <w:shd w:val="clear" w:color="auto" w:fill="E0E0E1" w:themeFill="background2"/>
            <w:vAlign w:val="center"/>
            <w:hideMark/>
          </w:tcPr>
          <w:p w14:paraId="435206D0" w14:textId="77777777" w:rsidR="004205E2" w:rsidRPr="004205E2" w:rsidRDefault="004205E2" w:rsidP="00CF129A">
            <w:pPr>
              <w:jc w:val="center"/>
            </w:pPr>
            <w:r w:rsidRPr="004205E2">
              <w:t>1.2%</w:t>
            </w:r>
          </w:p>
        </w:tc>
        <w:tc>
          <w:tcPr>
            <w:tcW w:w="0" w:type="auto"/>
            <w:vAlign w:val="center"/>
            <w:hideMark/>
          </w:tcPr>
          <w:p w14:paraId="3CDC3187" w14:textId="77777777" w:rsidR="004205E2" w:rsidRPr="004205E2" w:rsidRDefault="004205E2" w:rsidP="00CF129A">
            <w:pPr>
              <w:jc w:val="center"/>
            </w:pPr>
            <w:r w:rsidRPr="004205E2">
              <w:t>8</w:t>
            </w:r>
          </w:p>
        </w:tc>
        <w:tc>
          <w:tcPr>
            <w:tcW w:w="0" w:type="auto"/>
            <w:vAlign w:val="center"/>
            <w:hideMark/>
          </w:tcPr>
          <w:p w14:paraId="6664EB52" w14:textId="77777777" w:rsidR="004205E2" w:rsidRPr="004205E2" w:rsidRDefault="004205E2" w:rsidP="00CF129A">
            <w:pPr>
              <w:jc w:val="center"/>
            </w:pPr>
            <w:r w:rsidRPr="004205E2">
              <w:t>6.2%</w:t>
            </w:r>
          </w:p>
        </w:tc>
        <w:tc>
          <w:tcPr>
            <w:tcW w:w="0" w:type="auto"/>
            <w:shd w:val="clear" w:color="auto" w:fill="E0E0E1" w:themeFill="background2"/>
            <w:vAlign w:val="center"/>
            <w:hideMark/>
          </w:tcPr>
          <w:p w14:paraId="48A49C7A" w14:textId="77777777" w:rsidR="004205E2" w:rsidRPr="004205E2" w:rsidRDefault="004205E2" w:rsidP="00CF129A">
            <w:pPr>
              <w:jc w:val="center"/>
            </w:pPr>
            <w:r w:rsidRPr="004205E2">
              <w:t>1</w:t>
            </w:r>
          </w:p>
        </w:tc>
        <w:tc>
          <w:tcPr>
            <w:tcW w:w="0" w:type="auto"/>
            <w:shd w:val="clear" w:color="auto" w:fill="E0E0E1" w:themeFill="background2"/>
            <w:vAlign w:val="center"/>
            <w:hideMark/>
          </w:tcPr>
          <w:p w14:paraId="6E13DF8A" w14:textId="77777777" w:rsidR="004205E2" w:rsidRPr="004205E2" w:rsidRDefault="004205E2" w:rsidP="00CF129A">
            <w:pPr>
              <w:jc w:val="center"/>
            </w:pPr>
            <w:r w:rsidRPr="004205E2">
              <w:t>2.2%</w:t>
            </w:r>
          </w:p>
        </w:tc>
      </w:tr>
      <w:tr w:rsidR="004205E2" w:rsidRPr="004205E2" w14:paraId="6018EE8A" w14:textId="77777777" w:rsidTr="004205E2">
        <w:trPr>
          <w:tblCellSpacing w:w="15" w:type="dxa"/>
        </w:trPr>
        <w:tc>
          <w:tcPr>
            <w:tcW w:w="0" w:type="auto"/>
            <w:vAlign w:val="center"/>
            <w:hideMark/>
          </w:tcPr>
          <w:p w14:paraId="6FFCA6D9" w14:textId="77777777" w:rsidR="004205E2" w:rsidRPr="004205E2" w:rsidRDefault="004205E2" w:rsidP="004205E2">
            <w:r w:rsidRPr="004205E2">
              <w:t>Finance</w:t>
            </w:r>
          </w:p>
        </w:tc>
        <w:tc>
          <w:tcPr>
            <w:tcW w:w="0" w:type="auto"/>
            <w:shd w:val="clear" w:color="auto" w:fill="E0E0E1" w:themeFill="background2"/>
            <w:vAlign w:val="center"/>
            <w:hideMark/>
          </w:tcPr>
          <w:p w14:paraId="4A99B92F" w14:textId="77777777" w:rsidR="004205E2" w:rsidRPr="004205E2" w:rsidRDefault="004205E2" w:rsidP="00CF129A">
            <w:pPr>
              <w:jc w:val="center"/>
            </w:pPr>
            <w:r w:rsidRPr="004205E2">
              <w:t>6</w:t>
            </w:r>
          </w:p>
        </w:tc>
        <w:tc>
          <w:tcPr>
            <w:tcW w:w="0" w:type="auto"/>
            <w:shd w:val="clear" w:color="auto" w:fill="E0E0E1" w:themeFill="background2"/>
            <w:vAlign w:val="center"/>
            <w:hideMark/>
          </w:tcPr>
          <w:p w14:paraId="06621EB6" w14:textId="77777777" w:rsidR="004205E2" w:rsidRPr="004205E2" w:rsidRDefault="004205E2" w:rsidP="00CF129A">
            <w:pPr>
              <w:jc w:val="center"/>
            </w:pPr>
            <w:r w:rsidRPr="004205E2">
              <w:t>7.0%</w:t>
            </w:r>
          </w:p>
        </w:tc>
        <w:tc>
          <w:tcPr>
            <w:tcW w:w="0" w:type="auto"/>
            <w:vAlign w:val="center"/>
            <w:hideMark/>
          </w:tcPr>
          <w:p w14:paraId="7D40EF66" w14:textId="77777777" w:rsidR="004205E2" w:rsidRPr="004205E2" w:rsidRDefault="004205E2" w:rsidP="00CF129A">
            <w:pPr>
              <w:jc w:val="center"/>
            </w:pPr>
            <w:r w:rsidRPr="004205E2">
              <w:t>6</w:t>
            </w:r>
          </w:p>
        </w:tc>
        <w:tc>
          <w:tcPr>
            <w:tcW w:w="0" w:type="auto"/>
            <w:vAlign w:val="center"/>
            <w:hideMark/>
          </w:tcPr>
          <w:p w14:paraId="3F2D209A" w14:textId="77777777" w:rsidR="004205E2" w:rsidRPr="004205E2" w:rsidRDefault="004205E2" w:rsidP="00CF129A">
            <w:pPr>
              <w:jc w:val="center"/>
            </w:pPr>
            <w:r w:rsidRPr="004205E2">
              <w:t>4.7%</w:t>
            </w:r>
          </w:p>
        </w:tc>
        <w:tc>
          <w:tcPr>
            <w:tcW w:w="0" w:type="auto"/>
            <w:shd w:val="clear" w:color="auto" w:fill="E0E0E1" w:themeFill="background2"/>
            <w:vAlign w:val="center"/>
            <w:hideMark/>
          </w:tcPr>
          <w:p w14:paraId="41489A39" w14:textId="77777777" w:rsidR="004205E2" w:rsidRPr="004205E2" w:rsidRDefault="004205E2" w:rsidP="00CF129A">
            <w:pPr>
              <w:jc w:val="center"/>
            </w:pPr>
            <w:r w:rsidRPr="004205E2">
              <w:t>4</w:t>
            </w:r>
          </w:p>
        </w:tc>
        <w:tc>
          <w:tcPr>
            <w:tcW w:w="0" w:type="auto"/>
            <w:shd w:val="clear" w:color="auto" w:fill="E0E0E1" w:themeFill="background2"/>
            <w:vAlign w:val="center"/>
            <w:hideMark/>
          </w:tcPr>
          <w:p w14:paraId="1951543A" w14:textId="77777777" w:rsidR="004205E2" w:rsidRPr="004205E2" w:rsidRDefault="004205E2" w:rsidP="00CF129A">
            <w:pPr>
              <w:jc w:val="center"/>
            </w:pPr>
            <w:r w:rsidRPr="004205E2">
              <w:t>8.9%</w:t>
            </w:r>
          </w:p>
        </w:tc>
      </w:tr>
      <w:tr w:rsidR="004205E2" w:rsidRPr="004205E2" w14:paraId="4EEB4480" w14:textId="77777777" w:rsidTr="004205E2">
        <w:trPr>
          <w:tblCellSpacing w:w="15" w:type="dxa"/>
        </w:trPr>
        <w:tc>
          <w:tcPr>
            <w:tcW w:w="0" w:type="auto"/>
            <w:vAlign w:val="center"/>
            <w:hideMark/>
          </w:tcPr>
          <w:p w14:paraId="37840A30" w14:textId="77777777" w:rsidR="004205E2" w:rsidRPr="004205E2" w:rsidRDefault="004205E2" w:rsidP="004205E2">
            <w:r w:rsidRPr="004205E2">
              <w:t>Social Life / Making Friends</w:t>
            </w:r>
          </w:p>
        </w:tc>
        <w:tc>
          <w:tcPr>
            <w:tcW w:w="0" w:type="auto"/>
            <w:shd w:val="clear" w:color="auto" w:fill="E0E0E1" w:themeFill="background2"/>
            <w:vAlign w:val="center"/>
            <w:hideMark/>
          </w:tcPr>
          <w:p w14:paraId="5F87960C" w14:textId="77777777" w:rsidR="004205E2" w:rsidRPr="004205E2" w:rsidRDefault="004205E2" w:rsidP="00CF129A">
            <w:pPr>
              <w:jc w:val="center"/>
            </w:pPr>
            <w:r w:rsidRPr="004205E2">
              <w:t>1</w:t>
            </w:r>
          </w:p>
        </w:tc>
        <w:tc>
          <w:tcPr>
            <w:tcW w:w="0" w:type="auto"/>
            <w:shd w:val="clear" w:color="auto" w:fill="E0E0E1" w:themeFill="background2"/>
            <w:vAlign w:val="center"/>
            <w:hideMark/>
          </w:tcPr>
          <w:p w14:paraId="6F94368E" w14:textId="77777777" w:rsidR="004205E2" w:rsidRPr="004205E2" w:rsidRDefault="004205E2" w:rsidP="00CF129A">
            <w:pPr>
              <w:jc w:val="center"/>
            </w:pPr>
            <w:r w:rsidRPr="004205E2">
              <w:t>1.2%</w:t>
            </w:r>
          </w:p>
        </w:tc>
        <w:tc>
          <w:tcPr>
            <w:tcW w:w="0" w:type="auto"/>
            <w:vAlign w:val="center"/>
            <w:hideMark/>
          </w:tcPr>
          <w:p w14:paraId="23FDCA84" w14:textId="77777777" w:rsidR="004205E2" w:rsidRPr="004205E2" w:rsidRDefault="004205E2" w:rsidP="00CF129A">
            <w:pPr>
              <w:jc w:val="center"/>
            </w:pPr>
            <w:r w:rsidRPr="004205E2">
              <w:t>5</w:t>
            </w:r>
          </w:p>
        </w:tc>
        <w:tc>
          <w:tcPr>
            <w:tcW w:w="0" w:type="auto"/>
            <w:vAlign w:val="center"/>
            <w:hideMark/>
          </w:tcPr>
          <w:p w14:paraId="5A4EF734" w14:textId="77777777" w:rsidR="004205E2" w:rsidRPr="004205E2" w:rsidRDefault="004205E2" w:rsidP="00CF129A">
            <w:pPr>
              <w:jc w:val="center"/>
            </w:pPr>
            <w:r w:rsidRPr="004205E2">
              <w:t>3.9%</w:t>
            </w:r>
          </w:p>
        </w:tc>
        <w:tc>
          <w:tcPr>
            <w:tcW w:w="0" w:type="auto"/>
            <w:shd w:val="clear" w:color="auto" w:fill="E0E0E1" w:themeFill="background2"/>
            <w:vAlign w:val="center"/>
            <w:hideMark/>
          </w:tcPr>
          <w:p w14:paraId="226E6A26" w14:textId="77777777" w:rsidR="004205E2" w:rsidRPr="004205E2" w:rsidRDefault="004205E2" w:rsidP="00CF129A">
            <w:pPr>
              <w:jc w:val="center"/>
            </w:pPr>
            <w:r w:rsidRPr="004205E2">
              <w:t>1</w:t>
            </w:r>
          </w:p>
        </w:tc>
        <w:tc>
          <w:tcPr>
            <w:tcW w:w="0" w:type="auto"/>
            <w:shd w:val="clear" w:color="auto" w:fill="E0E0E1" w:themeFill="background2"/>
            <w:vAlign w:val="center"/>
            <w:hideMark/>
          </w:tcPr>
          <w:p w14:paraId="00EAE8A2" w14:textId="77777777" w:rsidR="004205E2" w:rsidRPr="004205E2" w:rsidRDefault="004205E2" w:rsidP="00CF129A">
            <w:pPr>
              <w:jc w:val="center"/>
            </w:pPr>
            <w:r w:rsidRPr="004205E2">
              <w:t>2.2%</w:t>
            </w:r>
          </w:p>
        </w:tc>
      </w:tr>
      <w:tr w:rsidR="004205E2" w:rsidRPr="004205E2" w14:paraId="1D173B06" w14:textId="77777777" w:rsidTr="004205E2">
        <w:trPr>
          <w:tblCellSpacing w:w="15" w:type="dxa"/>
        </w:trPr>
        <w:tc>
          <w:tcPr>
            <w:tcW w:w="0" w:type="auto"/>
            <w:vAlign w:val="center"/>
            <w:hideMark/>
          </w:tcPr>
          <w:p w14:paraId="32AFBE70" w14:textId="77777777" w:rsidR="004205E2" w:rsidRPr="004205E2" w:rsidRDefault="004205E2" w:rsidP="004205E2">
            <w:r w:rsidRPr="004205E2">
              <w:lastRenderedPageBreak/>
              <w:t>Support Services</w:t>
            </w:r>
          </w:p>
        </w:tc>
        <w:tc>
          <w:tcPr>
            <w:tcW w:w="0" w:type="auto"/>
            <w:shd w:val="clear" w:color="auto" w:fill="E0E0E1" w:themeFill="background2"/>
            <w:vAlign w:val="center"/>
            <w:hideMark/>
          </w:tcPr>
          <w:p w14:paraId="1B29AF1F" w14:textId="77777777" w:rsidR="004205E2" w:rsidRPr="004205E2" w:rsidRDefault="004205E2" w:rsidP="00CF129A">
            <w:pPr>
              <w:jc w:val="center"/>
            </w:pPr>
            <w:r w:rsidRPr="004205E2">
              <w:t>4</w:t>
            </w:r>
          </w:p>
        </w:tc>
        <w:tc>
          <w:tcPr>
            <w:tcW w:w="0" w:type="auto"/>
            <w:shd w:val="clear" w:color="auto" w:fill="E0E0E1" w:themeFill="background2"/>
            <w:vAlign w:val="center"/>
            <w:hideMark/>
          </w:tcPr>
          <w:p w14:paraId="29300956" w14:textId="77777777" w:rsidR="004205E2" w:rsidRPr="004205E2" w:rsidRDefault="004205E2" w:rsidP="00CF129A">
            <w:pPr>
              <w:jc w:val="center"/>
            </w:pPr>
            <w:r w:rsidRPr="004205E2">
              <w:t>4.7%</w:t>
            </w:r>
          </w:p>
        </w:tc>
        <w:tc>
          <w:tcPr>
            <w:tcW w:w="0" w:type="auto"/>
            <w:vAlign w:val="center"/>
            <w:hideMark/>
          </w:tcPr>
          <w:p w14:paraId="32E2F040" w14:textId="77777777" w:rsidR="004205E2" w:rsidRPr="004205E2" w:rsidRDefault="004205E2" w:rsidP="00CF129A">
            <w:pPr>
              <w:jc w:val="center"/>
            </w:pPr>
            <w:r w:rsidRPr="004205E2">
              <w:t>10</w:t>
            </w:r>
          </w:p>
        </w:tc>
        <w:tc>
          <w:tcPr>
            <w:tcW w:w="0" w:type="auto"/>
            <w:vAlign w:val="center"/>
            <w:hideMark/>
          </w:tcPr>
          <w:p w14:paraId="47279015" w14:textId="77777777" w:rsidR="004205E2" w:rsidRPr="004205E2" w:rsidRDefault="004205E2" w:rsidP="00CF129A">
            <w:pPr>
              <w:jc w:val="center"/>
            </w:pPr>
            <w:r w:rsidRPr="004205E2">
              <w:t>7.8%</w:t>
            </w:r>
          </w:p>
        </w:tc>
        <w:tc>
          <w:tcPr>
            <w:tcW w:w="0" w:type="auto"/>
            <w:shd w:val="clear" w:color="auto" w:fill="E0E0E1" w:themeFill="background2"/>
            <w:vAlign w:val="center"/>
            <w:hideMark/>
          </w:tcPr>
          <w:p w14:paraId="53CF3E62" w14:textId="77777777" w:rsidR="004205E2" w:rsidRPr="004205E2" w:rsidRDefault="004205E2" w:rsidP="00CF129A">
            <w:pPr>
              <w:jc w:val="center"/>
            </w:pPr>
            <w:r w:rsidRPr="004205E2">
              <w:t>3</w:t>
            </w:r>
          </w:p>
        </w:tc>
        <w:tc>
          <w:tcPr>
            <w:tcW w:w="0" w:type="auto"/>
            <w:shd w:val="clear" w:color="auto" w:fill="E0E0E1" w:themeFill="background2"/>
            <w:vAlign w:val="center"/>
            <w:hideMark/>
          </w:tcPr>
          <w:p w14:paraId="50991DC0" w14:textId="77777777" w:rsidR="004205E2" w:rsidRPr="004205E2" w:rsidRDefault="004205E2" w:rsidP="00CF129A">
            <w:pPr>
              <w:jc w:val="center"/>
            </w:pPr>
            <w:r w:rsidRPr="004205E2">
              <w:t>6.7%</w:t>
            </w:r>
          </w:p>
        </w:tc>
      </w:tr>
      <w:tr w:rsidR="004205E2" w:rsidRPr="004205E2" w14:paraId="1FE03465" w14:textId="77777777" w:rsidTr="004205E2">
        <w:trPr>
          <w:tblCellSpacing w:w="15" w:type="dxa"/>
        </w:trPr>
        <w:tc>
          <w:tcPr>
            <w:tcW w:w="0" w:type="auto"/>
            <w:vAlign w:val="center"/>
            <w:hideMark/>
          </w:tcPr>
          <w:p w14:paraId="1F401AB7" w14:textId="77777777" w:rsidR="004205E2" w:rsidRPr="004205E2" w:rsidRDefault="004205E2" w:rsidP="004205E2">
            <w:r w:rsidRPr="004205E2">
              <w:t>Transition / General Prep</w:t>
            </w:r>
          </w:p>
        </w:tc>
        <w:tc>
          <w:tcPr>
            <w:tcW w:w="0" w:type="auto"/>
            <w:shd w:val="clear" w:color="auto" w:fill="E0E0E1" w:themeFill="background2"/>
            <w:vAlign w:val="center"/>
            <w:hideMark/>
          </w:tcPr>
          <w:p w14:paraId="794DA788" w14:textId="77777777" w:rsidR="004205E2" w:rsidRPr="004205E2" w:rsidRDefault="004205E2" w:rsidP="00CF129A">
            <w:pPr>
              <w:jc w:val="center"/>
            </w:pPr>
            <w:r w:rsidRPr="004205E2">
              <w:t>2</w:t>
            </w:r>
          </w:p>
        </w:tc>
        <w:tc>
          <w:tcPr>
            <w:tcW w:w="0" w:type="auto"/>
            <w:shd w:val="clear" w:color="auto" w:fill="E0E0E1" w:themeFill="background2"/>
            <w:vAlign w:val="center"/>
            <w:hideMark/>
          </w:tcPr>
          <w:p w14:paraId="3321106E" w14:textId="77777777" w:rsidR="004205E2" w:rsidRPr="004205E2" w:rsidRDefault="004205E2" w:rsidP="00CF129A">
            <w:pPr>
              <w:jc w:val="center"/>
            </w:pPr>
            <w:r w:rsidRPr="004205E2">
              <w:t>2.3%</w:t>
            </w:r>
          </w:p>
        </w:tc>
        <w:tc>
          <w:tcPr>
            <w:tcW w:w="0" w:type="auto"/>
            <w:vAlign w:val="center"/>
            <w:hideMark/>
          </w:tcPr>
          <w:p w14:paraId="168027E7" w14:textId="77777777" w:rsidR="004205E2" w:rsidRPr="004205E2" w:rsidRDefault="004205E2" w:rsidP="00CF129A">
            <w:pPr>
              <w:jc w:val="center"/>
            </w:pPr>
            <w:r w:rsidRPr="004205E2">
              <w:t>12</w:t>
            </w:r>
          </w:p>
        </w:tc>
        <w:tc>
          <w:tcPr>
            <w:tcW w:w="0" w:type="auto"/>
            <w:vAlign w:val="center"/>
            <w:hideMark/>
          </w:tcPr>
          <w:p w14:paraId="4D877786" w14:textId="77777777" w:rsidR="004205E2" w:rsidRPr="004205E2" w:rsidRDefault="004205E2" w:rsidP="00CF129A">
            <w:pPr>
              <w:jc w:val="center"/>
            </w:pPr>
            <w:r w:rsidRPr="004205E2">
              <w:t>9.3%</w:t>
            </w:r>
          </w:p>
        </w:tc>
        <w:tc>
          <w:tcPr>
            <w:tcW w:w="0" w:type="auto"/>
            <w:shd w:val="clear" w:color="auto" w:fill="E0E0E1" w:themeFill="background2"/>
            <w:vAlign w:val="center"/>
            <w:hideMark/>
          </w:tcPr>
          <w:p w14:paraId="610128C5" w14:textId="77777777" w:rsidR="004205E2" w:rsidRPr="004205E2" w:rsidRDefault="004205E2" w:rsidP="00CF129A">
            <w:pPr>
              <w:jc w:val="center"/>
            </w:pPr>
            <w:r w:rsidRPr="004205E2">
              <w:t>4</w:t>
            </w:r>
          </w:p>
        </w:tc>
        <w:tc>
          <w:tcPr>
            <w:tcW w:w="0" w:type="auto"/>
            <w:shd w:val="clear" w:color="auto" w:fill="E0E0E1" w:themeFill="background2"/>
            <w:vAlign w:val="center"/>
            <w:hideMark/>
          </w:tcPr>
          <w:p w14:paraId="0485E649" w14:textId="77777777" w:rsidR="004205E2" w:rsidRPr="004205E2" w:rsidRDefault="004205E2" w:rsidP="00CF129A">
            <w:pPr>
              <w:jc w:val="center"/>
            </w:pPr>
            <w:r w:rsidRPr="004205E2">
              <w:t>8.9%</w:t>
            </w:r>
          </w:p>
        </w:tc>
      </w:tr>
    </w:tbl>
    <w:p w14:paraId="04F40317" w14:textId="4D8BE788" w:rsidR="002A13B7" w:rsidRDefault="002A13B7" w:rsidP="2E32142D"/>
    <w:p w14:paraId="59E36798" w14:textId="7775ED43" w:rsidR="2E32142D" w:rsidRDefault="00303491" w:rsidP="2E32142D">
      <w:r>
        <w:t>While Access Reading 2045-25 did not have a significant impact on reducing participants’ concerns about progressing to university, using the data provide</w:t>
      </w:r>
      <w:r w:rsidR="000A0843">
        <w:t>d</w:t>
      </w:r>
      <w:r>
        <w:t xml:space="preserve"> by this year’s participants to inform future planning could help to reduce the concerns of participants in future iterations.</w:t>
      </w:r>
    </w:p>
    <w:p w14:paraId="125EE40A" w14:textId="77777777" w:rsidR="00C67A30" w:rsidRDefault="00C67A30" w:rsidP="2E32142D"/>
    <w:p w14:paraId="4B0506F2" w14:textId="1F8953CD" w:rsidR="007C00EF" w:rsidRDefault="007C00EF" w:rsidP="007C00EF">
      <w:r>
        <w:t>Participants in the Access Reading continued the journey from application to enrolment in greater proportions than eligible students who did not participate. For all applicants who were eligible for the programme, 19.54% continued to enrol at the University of Reading, compared with 54.49% for applicants who engaged with the programme and 64.34% for applicants who attended the in-person event. This represented a small increase in conversion rate for in-person participants from 62% in 2023/24</w:t>
      </w:r>
      <w:r w:rsidR="00E038F6">
        <w:t xml:space="preserve"> and indicates that participation in the Access Reading programme </w:t>
      </w:r>
      <w:r w:rsidR="00DF21E2">
        <w:t>may play a role in supporting the final decisions of applicants.</w:t>
      </w:r>
    </w:p>
    <w:p w14:paraId="2435ACAB" w14:textId="06D90940" w:rsidR="00E1441C" w:rsidRDefault="6C879AAC" w:rsidP="000E1558">
      <w:pPr>
        <w:pStyle w:val="Heading1"/>
      </w:pPr>
      <w:bookmarkStart w:id="24" w:name="_Toc227058304"/>
      <w:r>
        <w:t>Conclusions &amp; recommendations</w:t>
      </w:r>
      <w:bookmarkEnd w:id="24"/>
    </w:p>
    <w:p w14:paraId="3A2DD06C" w14:textId="60AE3E35" w:rsidR="00E1441C" w:rsidRDefault="6C879AAC" w:rsidP="00176CC6">
      <w:pPr>
        <w:pStyle w:val="Heading2"/>
      </w:pPr>
      <w:bookmarkStart w:id="25" w:name="_Toc227058305"/>
      <w:r>
        <w:t>Conclusions</w:t>
      </w:r>
      <w:bookmarkEnd w:id="25"/>
    </w:p>
    <w:p w14:paraId="0AA190D6" w14:textId="3A38DEB1" w:rsidR="00E1441C" w:rsidRDefault="009B3AD4" w:rsidP="00E1441C">
      <w:r>
        <w:t xml:space="preserve">Access Reading appears to have had a significant, </w:t>
      </w:r>
      <w:r w:rsidR="002003B9">
        <w:t xml:space="preserve">sustained, </w:t>
      </w:r>
      <w:r>
        <w:t xml:space="preserve">positive impact on </w:t>
      </w:r>
      <w:r w:rsidR="002003B9">
        <w:t>participants</w:t>
      </w:r>
      <w:r w:rsidR="000460E7">
        <w:t>’</w:t>
      </w:r>
      <w:r w:rsidR="002003B9">
        <w:t xml:space="preserve"> sense of belonging </w:t>
      </w:r>
      <w:r w:rsidR="000460E7">
        <w:t>and</w:t>
      </w:r>
      <w:r w:rsidR="009D16ED">
        <w:t xml:space="preserve"> knowledge of the support available at university.</w:t>
      </w:r>
      <w:r w:rsidR="00333115">
        <w:t xml:space="preserve"> The programme also </w:t>
      </w:r>
      <w:r w:rsidR="00E560EF">
        <w:t>appears to have had a significant, positive impact on participants confidence to cope with learning in higher education, although this was not sustained throughout the programme.</w:t>
      </w:r>
    </w:p>
    <w:p w14:paraId="2391573F" w14:textId="73D24766" w:rsidR="00E560EF" w:rsidRDefault="00387212" w:rsidP="00E1441C">
      <w:r>
        <w:t xml:space="preserve">Access Reading did not have a significant impact on </w:t>
      </w:r>
      <w:r w:rsidR="29F4ADBD">
        <w:t>students'</w:t>
      </w:r>
      <w:r>
        <w:t xml:space="preserve"> knowledge about </w:t>
      </w:r>
      <w:r w:rsidR="00EE056E">
        <w:t>studying at university or a reduction in concerns about university</w:t>
      </w:r>
      <w:r w:rsidR="00071087">
        <w:t>. Impacts were positive but not significant.</w:t>
      </w:r>
    </w:p>
    <w:p w14:paraId="70DA2955" w14:textId="21F61D6F" w:rsidR="001827A2" w:rsidRDefault="00312D40" w:rsidP="002436D8">
      <w:r>
        <w:t xml:space="preserve">Based in enrolment and available progression to Higher Education data, </w:t>
      </w:r>
      <w:r w:rsidR="00071087">
        <w:t xml:space="preserve">Access Reading </w:t>
      </w:r>
      <w:r w:rsidR="006C70A6">
        <w:t xml:space="preserve">participants enrol at the University of Reading in greater proportions than eligible applicants who do not participate, with a </w:t>
      </w:r>
      <w:r w:rsidR="00837679">
        <w:t xml:space="preserve">64.34% conversion rate for those attending the in-person event compared to a 19.54% conversion rate for all applicants who were eligible for the programme. </w:t>
      </w:r>
      <w:r w:rsidR="0080072D">
        <w:t xml:space="preserve">Data also suggests that attendees at the in-person event are more likely to progress to </w:t>
      </w:r>
      <w:r w:rsidR="008E1EA5">
        <w:t xml:space="preserve">Higher Education overall, with 88.69% </w:t>
      </w:r>
      <w:r w:rsidR="00F70AB7">
        <w:t xml:space="preserve">of </w:t>
      </w:r>
      <w:r w:rsidR="008E1EA5">
        <w:t xml:space="preserve">eligible applicants for </w:t>
      </w:r>
      <w:r w:rsidR="008E1EA5">
        <w:lastRenderedPageBreak/>
        <w:t>the programme enrolling at the University of Reading or placing elsewhere</w:t>
      </w:r>
      <w:r w:rsidR="004E392A">
        <w:t xml:space="preserve"> while this figure increases to 92.31% for applicants who attended the in-person event.</w:t>
      </w:r>
    </w:p>
    <w:p w14:paraId="733E0DCC" w14:textId="3719B8FA" w:rsidR="00E1441C" w:rsidRDefault="6C879AAC" w:rsidP="00176CC6">
      <w:pPr>
        <w:pStyle w:val="Heading2"/>
      </w:pPr>
      <w:bookmarkStart w:id="26" w:name="_Toc227058306"/>
      <w:r>
        <w:t>Recommendations</w:t>
      </w:r>
      <w:bookmarkEnd w:id="26"/>
    </w:p>
    <w:p w14:paraId="0C4F00A4" w14:textId="7A403F46" w:rsidR="005C001F" w:rsidRDefault="00CF6BE0" w:rsidP="00D1529B">
      <w:r>
        <w:t xml:space="preserve">The programme </w:t>
      </w:r>
      <w:r w:rsidR="00D1529B">
        <w:t>is running successfully and having significant impact in two areas that impact progression to university.</w:t>
      </w:r>
      <w:r w:rsidR="00A801DC">
        <w:t xml:space="preserve"> This, plus positive participant feedback, suggests the programme should be seen as successful.</w:t>
      </w:r>
    </w:p>
    <w:p w14:paraId="1787D192" w14:textId="2EAFFD9B" w:rsidR="005C001F" w:rsidRDefault="00D1529B" w:rsidP="00D1529B">
      <w:r>
        <w:t xml:space="preserve">As a </w:t>
      </w:r>
      <w:r w:rsidR="00953C36">
        <w:t>result,</w:t>
      </w:r>
      <w:r w:rsidR="005C001F">
        <w:t xml:space="preserve"> the programme should seek to expand the number of participants. </w:t>
      </w:r>
    </w:p>
    <w:p w14:paraId="322DDAF5" w14:textId="27E8B645" w:rsidR="00E1441C" w:rsidRDefault="005C001F" w:rsidP="00654B8F">
      <w:pPr>
        <w:pStyle w:val="ListParagraph"/>
        <w:numPr>
          <w:ilvl w:val="0"/>
          <w:numId w:val="19"/>
        </w:numPr>
      </w:pPr>
      <w:r>
        <w:t xml:space="preserve">There is no cap on accessing the online provision and so a realistic target would be to increase the programme to 500 </w:t>
      </w:r>
      <w:r w:rsidR="00567F0B">
        <w:t>sign-ups (+123)</w:t>
      </w:r>
      <w:r>
        <w:t>.</w:t>
      </w:r>
    </w:p>
    <w:p w14:paraId="325A1940" w14:textId="37CF07DF" w:rsidR="00953C36" w:rsidRDefault="005C001F" w:rsidP="00654B8F">
      <w:pPr>
        <w:pStyle w:val="ListParagraph"/>
        <w:numPr>
          <w:ilvl w:val="0"/>
          <w:numId w:val="19"/>
        </w:numPr>
      </w:pPr>
      <w:r>
        <w:t>The in-person event</w:t>
      </w:r>
      <w:r w:rsidR="00953C36">
        <w:t xml:space="preserve"> can change venue to facilitate larger attendance and so aiming for 200+ participants at the in-person event would be strong target.</w:t>
      </w:r>
    </w:p>
    <w:p w14:paraId="3B1C57C2" w14:textId="77777777" w:rsidR="007122CB" w:rsidRDefault="007122CB" w:rsidP="007122CB">
      <w:pPr>
        <w:pStyle w:val="ListParagraph"/>
        <w:numPr>
          <w:ilvl w:val="0"/>
          <w:numId w:val="0"/>
        </w:numPr>
        <w:ind w:left="720"/>
      </w:pPr>
    </w:p>
    <w:p w14:paraId="1D2453BF" w14:textId="118953A1" w:rsidR="00C85601" w:rsidRDefault="00C85601" w:rsidP="00D1529B">
      <w:r>
        <w:t xml:space="preserve">The programme should also seek to improve the provision of knowledge around </w:t>
      </w:r>
      <w:r w:rsidR="00425255">
        <w:t xml:space="preserve">the study of participants’ courses. This could be done by creating non-negotiable inclusions for academic sessions, as well as providing online subject support beyond the in-person event. This would also seek to </w:t>
      </w:r>
      <w:r w:rsidR="00D848D7">
        <w:t>sustain</w:t>
      </w:r>
      <w:r w:rsidR="00425255">
        <w:t xml:space="preserve"> students’ </w:t>
      </w:r>
      <w:r w:rsidR="00D848D7">
        <w:t xml:space="preserve">confidence to cope with learning </w:t>
      </w:r>
      <w:r w:rsidR="00A801DC">
        <w:t>in higher education, reducing the drop-off between survey 2 and survey 3.</w:t>
      </w:r>
    </w:p>
    <w:p w14:paraId="058A2A0D" w14:textId="77777777" w:rsidR="00A801DC" w:rsidRDefault="00A801DC" w:rsidP="00D1529B"/>
    <w:p w14:paraId="1B896BDE" w14:textId="63B0170D" w:rsidR="002A3501" w:rsidRDefault="11EC4BE8" w:rsidP="00D1529B">
      <w:r>
        <w:t>T</w:t>
      </w:r>
      <w:r w:rsidR="00A801DC">
        <w:t xml:space="preserve">he programme </w:t>
      </w:r>
      <w:r w:rsidR="002A3501">
        <w:t>should look to develop the online provision to</w:t>
      </w:r>
      <w:r w:rsidR="0080072D">
        <w:t>:</w:t>
      </w:r>
    </w:p>
    <w:p w14:paraId="6C957FF4" w14:textId="3908C2DC" w:rsidR="002A3501" w:rsidRDefault="002A3501" w:rsidP="00D1529B">
      <w:r>
        <w:t>a) support students with the concerns that we have gained data on in the 2024-25 iteration beyond the in-person event</w:t>
      </w:r>
    </w:p>
    <w:p w14:paraId="29218191" w14:textId="400FB76D" w:rsidR="00BF17DA" w:rsidRDefault="002A3501" w:rsidP="00D1529B">
      <w:r>
        <w:t xml:space="preserve">b) increase engagement with the online aspects </w:t>
      </w:r>
      <w:r w:rsidR="00BF17DA">
        <w:t>of the programme</w:t>
      </w:r>
    </w:p>
    <w:p w14:paraId="7423D31A" w14:textId="77777777" w:rsidR="00BF17DA" w:rsidRDefault="00BF17DA" w:rsidP="00D1529B"/>
    <w:p w14:paraId="1C15E9B0" w14:textId="75CCF76C" w:rsidR="00BF17DA" w:rsidRDefault="00BF17DA" w:rsidP="00D1529B">
      <w:r>
        <w:t>In turn, this should also increase the number of students responding to survey 3, thus furthering the evaluation of the programme. The other evaluative method that could be adopted as part of the 2025-26 iteration, is using focus groups with successfully enrolled students from the programme.</w:t>
      </w:r>
    </w:p>
    <w:p w14:paraId="38E838DE" w14:textId="77777777" w:rsidR="004A205F" w:rsidRDefault="004A205F" w:rsidP="00D1529B"/>
    <w:p w14:paraId="18916273" w14:textId="199104FC" w:rsidR="004A205F" w:rsidRDefault="004A205F" w:rsidP="00D1529B">
      <w:r>
        <w:t xml:space="preserve">Finally, further analysis </w:t>
      </w:r>
      <w:r w:rsidR="00E94398">
        <w:t xml:space="preserve">should </w:t>
      </w:r>
      <w:r>
        <w:t>be done in the summer of 2026 to evaluate whether the successfully enrolled participants then successfully completed year 1 at the University of Reading. This will give an indication as to how the programme can work with teams within student success, to bridge the gap in supporting students beyond enrolment to flourishing at university.</w:t>
      </w:r>
    </w:p>
    <w:p w14:paraId="12C106D0" w14:textId="77777777" w:rsidR="00E1441C" w:rsidRDefault="00E1441C" w:rsidP="00DD43FF"/>
    <w:p w14:paraId="210AD1A7" w14:textId="0257DE0A" w:rsidR="001827A2" w:rsidRPr="002436D8" w:rsidRDefault="001827A2" w:rsidP="002436D8">
      <w:pPr>
        <w:spacing w:before="0" w:after="200" w:line="276" w:lineRule="auto"/>
        <w:rPr>
          <w:rFonts w:cs="Arial"/>
          <w:b/>
          <w:iCs/>
          <w:kern w:val="32"/>
          <w:sz w:val="36"/>
          <w:szCs w:val="28"/>
          <w:lang w:eastAsia="en-US"/>
        </w:rPr>
      </w:pPr>
      <w:r>
        <w:br w:type="page"/>
      </w:r>
    </w:p>
    <w:p w14:paraId="353480CC" w14:textId="7FEDD462" w:rsidR="00225E1B" w:rsidRDefault="1DC6AD73" w:rsidP="00176CC6">
      <w:pPr>
        <w:pStyle w:val="Heading1"/>
      </w:pPr>
      <w:bookmarkStart w:id="27" w:name="_Toc227058307"/>
      <w:r>
        <w:lastRenderedPageBreak/>
        <w:t>References</w:t>
      </w:r>
      <w:bookmarkEnd w:id="27"/>
    </w:p>
    <w:p w14:paraId="36B62F85" w14:textId="65578094" w:rsidR="0021326E" w:rsidRPr="009F5518" w:rsidRDefault="6939A901" w:rsidP="00225E1B">
      <w:pPr>
        <w:rPr>
          <w:rFonts w:eastAsia="Arial" w:cs="Arial"/>
          <w:szCs w:val="24"/>
        </w:rPr>
      </w:pPr>
      <w:r w:rsidRPr="009F5518">
        <w:rPr>
          <w:rFonts w:eastAsia="Arial" w:cs="Arial"/>
          <w:szCs w:val="24"/>
        </w:rPr>
        <w:t xml:space="preserve">Anthony, Anna (2019) </w:t>
      </w:r>
      <w:r w:rsidRPr="009F5518">
        <w:rPr>
          <w:rFonts w:eastAsia="Arial" w:cs="Arial"/>
          <w:i/>
          <w:iCs/>
          <w:szCs w:val="24"/>
        </w:rPr>
        <w:t xml:space="preserve">'What works' and 'what makes sense' in Widening Participation: an investigation into the potential of university-led outreach to raise attainment in schools. </w:t>
      </w:r>
      <w:r w:rsidRPr="009F5518">
        <w:rPr>
          <w:rFonts w:eastAsia="Arial" w:cs="Arial"/>
          <w:szCs w:val="24"/>
        </w:rPr>
        <w:t>Doctor of Philosophy (PhD) thesis, University of Kent</w:t>
      </w:r>
      <w:r w:rsidR="009F5518" w:rsidRPr="009F5518">
        <w:rPr>
          <w:rFonts w:eastAsia="Arial" w:cs="Arial"/>
          <w:szCs w:val="24"/>
        </w:rPr>
        <w:t>.</w:t>
      </w:r>
    </w:p>
    <w:p w14:paraId="648A1331" w14:textId="0FFEFAB0" w:rsidR="0021326E" w:rsidRDefault="545E2104" w:rsidP="00225E1B">
      <w:r w:rsidRPr="009F5518">
        <w:rPr>
          <w:rFonts w:eastAsia="Arial" w:cs="Arial"/>
          <w:szCs w:val="24"/>
        </w:rPr>
        <w:t xml:space="preserve">Bowman, N. A., Kim, S., Ingleby, L., Ford, D. C., &amp; </w:t>
      </w:r>
      <w:proofErr w:type="spellStart"/>
      <w:r w:rsidRPr="009F5518">
        <w:rPr>
          <w:rFonts w:eastAsia="Arial" w:cs="Arial"/>
          <w:szCs w:val="24"/>
        </w:rPr>
        <w:t>Sibaouih</w:t>
      </w:r>
      <w:proofErr w:type="spellEnd"/>
      <w:r w:rsidRPr="009F5518">
        <w:rPr>
          <w:rFonts w:eastAsia="Arial" w:cs="Arial"/>
          <w:szCs w:val="24"/>
        </w:rPr>
        <w:t>, C. (2018)</w:t>
      </w:r>
      <w:r w:rsidRPr="009F5518">
        <w:rPr>
          <w:rFonts w:eastAsia="Arial" w:cs="Arial"/>
          <w:b/>
          <w:bCs/>
          <w:szCs w:val="24"/>
        </w:rPr>
        <w:t>.</w:t>
      </w:r>
      <w:r w:rsidRPr="009F5518">
        <w:rPr>
          <w:rFonts w:eastAsia="Arial" w:cs="Arial"/>
          <w:szCs w:val="24"/>
        </w:rPr>
        <w:t xml:space="preserve"> Improving </w:t>
      </w:r>
      <w:r w:rsidRPr="05539986">
        <w:rPr>
          <w:rFonts w:eastAsia="Arial" w:cs="Arial"/>
          <w:szCs w:val="24"/>
        </w:rPr>
        <w:t xml:space="preserve">college access at low-income high schools? The impact of GEAR UP Iowa on postsecondary </w:t>
      </w:r>
      <w:proofErr w:type="spellStart"/>
      <w:r w:rsidRPr="05539986">
        <w:rPr>
          <w:rFonts w:eastAsia="Arial" w:cs="Arial"/>
          <w:szCs w:val="24"/>
        </w:rPr>
        <w:t>enrollment</w:t>
      </w:r>
      <w:proofErr w:type="spellEnd"/>
      <w:r w:rsidRPr="05539986">
        <w:rPr>
          <w:rFonts w:eastAsia="Arial" w:cs="Arial"/>
          <w:szCs w:val="24"/>
        </w:rPr>
        <w:t xml:space="preserve"> and persistence. </w:t>
      </w:r>
      <w:r w:rsidRPr="05539986">
        <w:rPr>
          <w:rFonts w:eastAsia="Arial" w:cs="Arial"/>
          <w:i/>
          <w:iCs/>
          <w:szCs w:val="24"/>
        </w:rPr>
        <w:t>Educational Evaluation and Policy Analysis, 40</w:t>
      </w:r>
      <w:r w:rsidRPr="05539986">
        <w:rPr>
          <w:rFonts w:eastAsia="Arial" w:cs="Arial"/>
          <w:szCs w:val="24"/>
        </w:rPr>
        <w:t>(3), 399–419.</w:t>
      </w:r>
    </w:p>
    <w:p w14:paraId="17A78BFF" w14:textId="47CBC138" w:rsidR="0021326E" w:rsidRPr="009F5518" w:rsidRDefault="545E2104" w:rsidP="05539986">
      <w:pPr>
        <w:rPr>
          <w:rFonts w:eastAsia="Arial" w:cs="Arial"/>
          <w:szCs w:val="24"/>
        </w:rPr>
      </w:pPr>
      <w:r w:rsidRPr="00CC22BB">
        <w:rPr>
          <w:rFonts w:eastAsia="Arial" w:cs="Arial"/>
          <w:szCs w:val="24"/>
        </w:rPr>
        <w:t>Castleman, B. L., Arnold, K., &amp; Wartman, K. L. (2012).</w:t>
      </w:r>
      <w:r w:rsidRPr="05539986">
        <w:rPr>
          <w:rFonts w:eastAsia="Arial" w:cs="Arial"/>
          <w:szCs w:val="24"/>
        </w:rPr>
        <w:t xml:space="preserve"> </w:t>
      </w:r>
      <w:r w:rsidRPr="05539986">
        <w:rPr>
          <w:rFonts w:eastAsia="Arial" w:cs="Arial"/>
          <w:i/>
          <w:iCs/>
          <w:szCs w:val="24"/>
        </w:rPr>
        <w:t xml:space="preserve">Stemming the tide of summer melt: An experimental study of the effects of post-high school summer </w:t>
      </w:r>
      <w:proofErr w:type="spellStart"/>
      <w:r w:rsidRPr="05539986">
        <w:rPr>
          <w:rFonts w:eastAsia="Arial" w:cs="Arial"/>
          <w:i/>
          <w:iCs/>
          <w:szCs w:val="24"/>
        </w:rPr>
        <w:t>counseling</w:t>
      </w:r>
      <w:proofErr w:type="spellEnd"/>
      <w:r w:rsidRPr="05539986">
        <w:rPr>
          <w:rFonts w:eastAsia="Arial" w:cs="Arial"/>
          <w:i/>
          <w:iCs/>
          <w:szCs w:val="24"/>
        </w:rPr>
        <w:t xml:space="preserve"> interventions.</w:t>
      </w:r>
    </w:p>
    <w:p w14:paraId="01D5B6C3" w14:textId="39EBBEF6" w:rsidR="0021326E" w:rsidRPr="009F5518" w:rsidRDefault="545E2104" w:rsidP="00225E1B">
      <w:pPr>
        <w:rPr>
          <w:rFonts w:eastAsia="Arial" w:cs="Arial"/>
          <w:szCs w:val="24"/>
        </w:rPr>
      </w:pPr>
      <w:r w:rsidRPr="00CC22BB">
        <w:rPr>
          <w:rFonts w:eastAsia="Arial" w:cs="Arial"/>
          <w:szCs w:val="24"/>
        </w:rPr>
        <w:t>Castleman, B. L., &amp; Long, B. (2013).</w:t>
      </w:r>
      <w:r w:rsidRPr="05539986">
        <w:rPr>
          <w:rFonts w:eastAsia="Arial" w:cs="Arial"/>
          <w:szCs w:val="24"/>
        </w:rPr>
        <w:t xml:space="preserve"> The causal effect of need-based grants on college access, persistence, and graduation. </w:t>
      </w:r>
      <w:r w:rsidRPr="05539986">
        <w:rPr>
          <w:rFonts w:eastAsia="Arial" w:cs="Arial"/>
          <w:i/>
          <w:iCs/>
          <w:szCs w:val="24"/>
        </w:rPr>
        <w:t>Journal of Labor Economics.</w:t>
      </w:r>
      <w:r w:rsidRPr="05539986">
        <w:rPr>
          <w:rFonts w:eastAsia="Arial" w:cs="Arial"/>
          <w:szCs w:val="24"/>
        </w:rPr>
        <w:t xml:space="preserve"> </w:t>
      </w:r>
      <w:r w:rsidRPr="05539986">
        <w:rPr>
          <w:rFonts w:eastAsia="Arial" w:cs="Arial"/>
          <w:i/>
          <w:iCs/>
          <w:szCs w:val="24"/>
        </w:rPr>
        <w:t>(Working paper version, later published in Journal of Labor Economics [2016])</w:t>
      </w:r>
    </w:p>
    <w:p w14:paraId="7D11D2CF" w14:textId="03AF3B52" w:rsidR="0021326E" w:rsidRPr="009F5518" w:rsidRDefault="545E2104" w:rsidP="05539986">
      <w:r w:rsidRPr="00CC22BB">
        <w:rPr>
          <w:rFonts w:eastAsia="Arial" w:cs="Arial"/>
          <w:szCs w:val="24"/>
        </w:rPr>
        <w:t>Castleman, B. L., &amp; Page, L. C. (2015, February).</w:t>
      </w:r>
      <w:r w:rsidRPr="05539986">
        <w:rPr>
          <w:rFonts w:eastAsia="Arial" w:cs="Arial"/>
          <w:szCs w:val="24"/>
        </w:rPr>
        <w:t xml:space="preserve"> </w:t>
      </w:r>
      <w:r w:rsidRPr="05539986">
        <w:rPr>
          <w:rFonts w:eastAsia="Arial" w:cs="Arial"/>
          <w:i/>
          <w:iCs/>
          <w:szCs w:val="24"/>
        </w:rPr>
        <w:t>Beyond FAFSA completion.</w:t>
      </w:r>
      <w:r w:rsidRPr="05539986">
        <w:rPr>
          <w:rFonts w:eastAsia="Arial" w:cs="Arial"/>
          <w:szCs w:val="24"/>
        </w:rPr>
        <w:t xml:space="preserve"> Change: The Magazine of Higher Learning, 47(1), 28–35.</w:t>
      </w:r>
    </w:p>
    <w:p w14:paraId="61D3FC6F" w14:textId="23EE9F5C" w:rsidR="0021326E" w:rsidRDefault="41A2FE98" w:rsidP="00225E1B">
      <w:r w:rsidRPr="00922605">
        <w:rPr>
          <w:rFonts w:eastAsia="Arial" w:cs="Arial"/>
          <w:szCs w:val="24"/>
          <w:lang w:val="fr-FR"/>
        </w:rPr>
        <w:t xml:space="preserve">Castleman, B. L., &amp; Page, L. C. (2020). </w:t>
      </w:r>
      <w:r w:rsidRPr="05539986">
        <w:rPr>
          <w:rFonts w:eastAsia="Arial" w:cs="Arial"/>
          <w:i/>
          <w:iCs/>
          <w:szCs w:val="24"/>
        </w:rPr>
        <w:t>Summer Melt: Supporting Low-Income Students Through the Transition to College.</w:t>
      </w:r>
      <w:r w:rsidRPr="05539986">
        <w:rPr>
          <w:rFonts w:eastAsia="Arial" w:cs="Arial"/>
          <w:szCs w:val="24"/>
        </w:rPr>
        <w:t xml:space="preserve"> Harvard Education Press.</w:t>
      </w:r>
    </w:p>
    <w:p w14:paraId="6BEB99A5" w14:textId="68C8FA65" w:rsidR="0021326E" w:rsidRDefault="545E2104" w:rsidP="00225E1B">
      <w:r w:rsidRPr="00CC22BB">
        <w:rPr>
          <w:rFonts w:eastAsia="Arial" w:cs="Arial"/>
          <w:szCs w:val="24"/>
        </w:rPr>
        <w:t xml:space="preserve">Peter, F., Spiess, C. K., &amp; </w:t>
      </w:r>
      <w:proofErr w:type="spellStart"/>
      <w:r w:rsidRPr="00CC22BB">
        <w:rPr>
          <w:rFonts w:eastAsia="Arial" w:cs="Arial"/>
          <w:szCs w:val="24"/>
        </w:rPr>
        <w:t>Zambre</w:t>
      </w:r>
      <w:proofErr w:type="spellEnd"/>
      <w:r w:rsidRPr="00CC22BB">
        <w:rPr>
          <w:rFonts w:eastAsia="Arial" w:cs="Arial"/>
          <w:szCs w:val="24"/>
        </w:rPr>
        <w:t>, V. (2018)</w:t>
      </w:r>
      <w:r w:rsidRPr="05539986">
        <w:rPr>
          <w:rFonts w:eastAsia="Arial" w:cs="Arial"/>
          <w:b/>
          <w:bCs/>
          <w:szCs w:val="24"/>
        </w:rPr>
        <w:t>.</w:t>
      </w:r>
      <w:r w:rsidRPr="05539986">
        <w:rPr>
          <w:rFonts w:eastAsia="Arial" w:cs="Arial"/>
          <w:szCs w:val="24"/>
        </w:rPr>
        <w:t xml:space="preserve"> </w:t>
      </w:r>
      <w:r w:rsidRPr="05539986">
        <w:rPr>
          <w:rFonts w:eastAsia="Arial" w:cs="Arial"/>
          <w:i/>
          <w:iCs/>
          <w:szCs w:val="24"/>
        </w:rPr>
        <w:t xml:space="preserve">Informing Students about College: An Efficient Way to Decrease the Socio-Economic Gap in </w:t>
      </w:r>
      <w:proofErr w:type="spellStart"/>
      <w:r w:rsidRPr="05539986">
        <w:rPr>
          <w:rFonts w:eastAsia="Arial" w:cs="Arial"/>
          <w:i/>
          <w:iCs/>
          <w:szCs w:val="24"/>
        </w:rPr>
        <w:t>Enrollment</w:t>
      </w:r>
      <w:proofErr w:type="spellEnd"/>
      <w:r w:rsidRPr="05539986">
        <w:rPr>
          <w:rFonts w:eastAsia="Arial" w:cs="Arial"/>
          <w:i/>
          <w:iCs/>
          <w:szCs w:val="24"/>
        </w:rPr>
        <w:t>: Evidence from a Randomized Field Experiment</w:t>
      </w:r>
      <w:r w:rsidRPr="05539986">
        <w:rPr>
          <w:rFonts w:eastAsia="Arial" w:cs="Arial"/>
          <w:szCs w:val="24"/>
        </w:rPr>
        <w:t xml:space="preserve"> (DIW Berlin Discussion Paper No. 1770)</w:t>
      </w:r>
    </w:p>
    <w:p w14:paraId="74CF9961" w14:textId="77777777" w:rsidR="0021326E" w:rsidRDefault="0021326E" w:rsidP="00225E1B"/>
    <w:p w14:paraId="18C8A292" w14:textId="315D9A7E" w:rsidR="004A5486" w:rsidRDefault="64BD2DEC" w:rsidP="00176CC6">
      <w:pPr>
        <w:pStyle w:val="Heading1"/>
      </w:pPr>
      <w:bookmarkStart w:id="28" w:name="_Toc227058308"/>
      <w:r>
        <w:t>Notes</w:t>
      </w:r>
      <w:bookmarkEnd w:id="28"/>
    </w:p>
    <w:p w14:paraId="64117E2C" w14:textId="78285723" w:rsidR="004A5486" w:rsidRDefault="004A5486" w:rsidP="004A5486">
      <w:r>
        <w:t>This report has been reviewed by</w:t>
      </w:r>
      <w:r w:rsidR="002D623D">
        <w:t xml:space="preserve"> members of</w:t>
      </w:r>
      <w:r>
        <w:t xml:space="preserve"> the </w:t>
      </w:r>
      <w:r w:rsidR="002D623D">
        <w:t>Access and Participation Evaluation Subcommittee (APES)</w:t>
      </w:r>
      <w:r w:rsidR="00F56295">
        <w:t xml:space="preserve">, with particular support from </w:t>
      </w:r>
      <w:r w:rsidR="00D504F3">
        <w:t>Lydia Fletcher</w:t>
      </w:r>
      <w:r w:rsidR="001229BC">
        <w:t xml:space="preserve"> on </w:t>
      </w:r>
      <w:r w:rsidR="00A2569E">
        <w:t xml:space="preserve">data analysis in </w:t>
      </w:r>
      <w:r w:rsidR="00F56295">
        <w:t>an earlier version.</w:t>
      </w:r>
    </w:p>
    <w:p w14:paraId="3BE6E904" w14:textId="77777777" w:rsidR="00225E1B" w:rsidRDefault="00225E1B" w:rsidP="00DD43FF"/>
    <w:p w14:paraId="4DEFDA39" w14:textId="77777777" w:rsidR="009271C6" w:rsidRDefault="009271C6" w:rsidP="009271C6">
      <w:pPr>
        <w:spacing w:before="0" w:after="200" w:line="276" w:lineRule="auto"/>
        <w:rPr>
          <w:rFonts w:cs="Arial"/>
          <w:b/>
          <w:iCs/>
          <w:kern w:val="32"/>
          <w:sz w:val="36"/>
          <w:szCs w:val="28"/>
          <w:lang w:eastAsia="en-US"/>
        </w:rPr>
        <w:sectPr w:rsidR="009271C6" w:rsidSect="006A118C">
          <w:pgSz w:w="11906" w:h="16840"/>
          <w:pgMar w:top="1134" w:right="737" w:bottom="1134" w:left="1701" w:header="708" w:footer="708" w:gutter="0"/>
          <w:cols w:space="708"/>
          <w:titlePg/>
          <w:docGrid w:linePitch="360"/>
        </w:sectPr>
      </w:pPr>
    </w:p>
    <w:p w14:paraId="1029D227" w14:textId="37274803" w:rsidR="00444E64" w:rsidRDefault="4AEC6773" w:rsidP="00176CC6">
      <w:pPr>
        <w:pStyle w:val="Heading1"/>
      </w:pPr>
      <w:bookmarkStart w:id="29" w:name="_Toc227058309"/>
      <w:r>
        <w:lastRenderedPageBreak/>
        <w:t>Appendix</w:t>
      </w:r>
      <w:r w:rsidR="002F4904">
        <w:t xml:space="preserve">: </w:t>
      </w:r>
      <w:r w:rsidR="00574F71">
        <w:t>Theory of Change for Access Reading</w:t>
      </w:r>
      <w:bookmarkEnd w:id="29"/>
    </w:p>
    <w:p w14:paraId="74EA4B05" w14:textId="61B95CB1" w:rsidR="00574F71" w:rsidRDefault="00574F71" w:rsidP="009271C6">
      <w:pPr>
        <w:jc w:val="center"/>
      </w:pPr>
    </w:p>
    <w:bookmarkEnd w:id="6"/>
    <w:bookmarkEnd w:id="7"/>
    <w:p w14:paraId="52AA8F1A" w14:textId="5481A3AA" w:rsidR="005C620B" w:rsidRPr="005C620B" w:rsidRDefault="005C620B" w:rsidP="005C620B">
      <w:pPr>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5C620B" w:rsidRPr="005C620B" w14:paraId="3804EFA8" w14:textId="77777777" w:rsidTr="005C620B">
        <w:tc>
          <w:tcPr>
            <w:tcW w:w="4320" w:type="dxa"/>
            <w:hideMark/>
          </w:tcPr>
          <w:p w14:paraId="7440B62E" w14:textId="77777777" w:rsidR="005C620B" w:rsidRPr="005C620B" w:rsidRDefault="005C620B" w:rsidP="005C620B">
            <w:pPr>
              <w:rPr>
                <w:lang w:val="en-US"/>
              </w:rPr>
            </w:pPr>
            <w:r w:rsidRPr="005C620B">
              <w:rPr>
                <w:lang w:val="en-US"/>
              </w:rPr>
              <w:t>Section</w:t>
            </w:r>
          </w:p>
        </w:tc>
        <w:tc>
          <w:tcPr>
            <w:tcW w:w="4320" w:type="dxa"/>
            <w:hideMark/>
          </w:tcPr>
          <w:p w14:paraId="7199E577" w14:textId="77777777" w:rsidR="005C620B" w:rsidRPr="005C620B" w:rsidRDefault="005C620B" w:rsidP="005C620B">
            <w:pPr>
              <w:rPr>
                <w:lang w:val="en-US"/>
              </w:rPr>
            </w:pPr>
            <w:r w:rsidRPr="005C620B">
              <w:rPr>
                <w:lang w:val="en-US"/>
              </w:rPr>
              <w:t>Content</w:t>
            </w:r>
          </w:p>
        </w:tc>
      </w:tr>
      <w:tr w:rsidR="005C620B" w:rsidRPr="005C620B" w14:paraId="60714004" w14:textId="77777777" w:rsidTr="005C620B">
        <w:tc>
          <w:tcPr>
            <w:tcW w:w="4320" w:type="dxa"/>
            <w:hideMark/>
          </w:tcPr>
          <w:p w14:paraId="306AC963" w14:textId="77777777" w:rsidR="005C620B" w:rsidRPr="005C620B" w:rsidRDefault="005C620B" w:rsidP="005C620B">
            <w:pPr>
              <w:rPr>
                <w:lang w:val="en-US"/>
              </w:rPr>
            </w:pPr>
            <w:r w:rsidRPr="005C620B">
              <w:rPr>
                <w:lang w:val="en-US"/>
              </w:rPr>
              <w:t>Situation</w:t>
            </w:r>
          </w:p>
        </w:tc>
        <w:tc>
          <w:tcPr>
            <w:tcW w:w="4320" w:type="dxa"/>
            <w:hideMark/>
          </w:tcPr>
          <w:p w14:paraId="0BBCAE24" w14:textId="7D843889" w:rsidR="005C620B" w:rsidRPr="005C620B" w:rsidRDefault="005C620B" w:rsidP="005C620B">
            <w:pPr>
              <w:rPr>
                <w:lang w:val="en-US"/>
              </w:rPr>
            </w:pPr>
            <w:r w:rsidRPr="005C620B">
              <w:rPr>
                <w:lang w:val="en-US"/>
              </w:rPr>
              <w:t xml:space="preserve">Within the University of Reading, students from IMD Q1 are significantly under-represented both against their peers in other quintiles and in comparison, to the HE </w:t>
            </w:r>
            <w:r w:rsidR="00F27CF1" w:rsidRPr="005C620B">
              <w:rPr>
                <w:lang w:val="en-US"/>
              </w:rPr>
              <w:t>sectors</w:t>
            </w:r>
            <w:r w:rsidRPr="005C620B">
              <w:rPr>
                <w:lang w:val="en-US"/>
              </w:rPr>
              <w:t xml:space="preserve">. They apply in disproportionately lower numbers that students in other quintiles, are more likely to apply to Reading without the required pre-attainment (e.g., subject profile or GCSE requirement) and are less likely to choose or </w:t>
            </w:r>
            <w:r w:rsidR="005A30B1" w:rsidRPr="005C620B">
              <w:rPr>
                <w:lang w:val="en-US"/>
              </w:rPr>
              <w:t>enroll</w:t>
            </w:r>
            <w:r w:rsidRPr="005C620B">
              <w:rPr>
                <w:lang w:val="en-US"/>
              </w:rPr>
              <w:t xml:space="preserve"> at the University of Reading when in receipt of an offer. As such, these are a target group across both our access-related interventions. Access Reading is designed to increase knowledge of higher education and support skills required to succeed once in HE.</w:t>
            </w:r>
          </w:p>
        </w:tc>
      </w:tr>
      <w:tr w:rsidR="005C620B" w:rsidRPr="005C620B" w14:paraId="24F7ED1D" w14:textId="77777777" w:rsidTr="005C620B">
        <w:tc>
          <w:tcPr>
            <w:tcW w:w="4320" w:type="dxa"/>
            <w:hideMark/>
          </w:tcPr>
          <w:p w14:paraId="73B1C858" w14:textId="77777777" w:rsidR="005C620B" w:rsidRPr="005C620B" w:rsidRDefault="005C620B" w:rsidP="005C620B">
            <w:pPr>
              <w:rPr>
                <w:lang w:val="en-US"/>
              </w:rPr>
            </w:pPr>
            <w:r w:rsidRPr="005C620B">
              <w:rPr>
                <w:lang w:val="en-US"/>
              </w:rPr>
              <w:t>Aims</w:t>
            </w:r>
          </w:p>
        </w:tc>
        <w:tc>
          <w:tcPr>
            <w:tcW w:w="4320" w:type="dxa"/>
            <w:hideMark/>
          </w:tcPr>
          <w:p w14:paraId="065FD195" w14:textId="77777777" w:rsidR="005C620B" w:rsidRPr="005C620B" w:rsidRDefault="005C620B" w:rsidP="005C620B">
            <w:pPr>
              <w:rPr>
                <w:lang w:val="en-US"/>
              </w:rPr>
            </w:pPr>
            <w:r w:rsidRPr="005C620B">
              <w:rPr>
                <w:lang w:val="en-US"/>
              </w:rPr>
              <w:t>The overarching aim of Access Reading is to facilitate a smooth transition to university for targeted University of Reading applicants and therefore increase enrolments from these applicants.</w:t>
            </w:r>
          </w:p>
        </w:tc>
      </w:tr>
      <w:tr w:rsidR="005C620B" w:rsidRPr="005C620B" w14:paraId="5C0FC659" w14:textId="77777777" w:rsidTr="005C620B">
        <w:tc>
          <w:tcPr>
            <w:tcW w:w="4320" w:type="dxa"/>
            <w:hideMark/>
          </w:tcPr>
          <w:p w14:paraId="56503CE9" w14:textId="77777777" w:rsidR="005C620B" w:rsidRPr="005C620B" w:rsidRDefault="005C620B" w:rsidP="005C620B">
            <w:pPr>
              <w:rPr>
                <w:lang w:val="en-US"/>
              </w:rPr>
            </w:pPr>
            <w:r w:rsidRPr="005C620B">
              <w:rPr>
                <w:lang w:val="en-US"/>
              </w:rPr>
              <w:t>Inputs</w:t>
            </w:r>
          </w:p>
        </w:tc>
        <w:tc>
          <w:tcPr>
            <w:tcW w:w="4320" w:type="dxa"/>
            <w:hideMark/>
          </w:tcPr>
          <w:p w14:paraId="5F3DAC81" w14:textId="77777777" w:rsidR="005C620B" w:rsidRPr="005C620B" w:rsidRDefault="005C620B" w:rsidP="005C620B">
            <w:pPr>
              <w:rPr>
                <w:lang w:val="en-US"/>
              </w:rPr>
            </w:pPr>
            <w:r w:rsidRPr="005C620B">
              <w:rPr>
                <w:lang w:val="en-US"/>
              </w:rPr>
              <w:t>Staff time on outreach</w:t>
            </w:r>
            <w:r w:rsidRPr="005C620B">
              <w:rPr>
                <w:lang w:val="en-US"/>
              </w:rPr>
              <w:br/>
              <w:t>Student ambassador time and resource</w:t>
            </w:r>
            <w:r w:rsidRPr="005C620B">
              <w:rPr>
                <w:lang w:val="en-US"/>
              </w:rPr>
              <w:br/>
              <w:t>Budget for travel and delivery</w:t>
            </w:r>
            <w:r w:rsidRPr="005C620B">
              <w:rPr>
                <w:lang w:val="en-US"/>
              </w:rPr>
              <w:br/>
              <w:t>Academic/wider university staff input</w:t>
            </w:r>
          </w:p>
        </w:tc>
      </w:tr>
      <w:tr w:rsidR="005C620B" w:rsidRPr="005C620B" w14:paraId="4333CBF0" w14:textId="77777777" w:rsidTr="005C620B">
        <w:tc>
          <w:tcPr>
            <w:tcW w:w="4320" w:type="dxa"/>
            <w:hideMark/>
          </w:tcPr>
          <w:p w14:paraId="64393D57" w14:textId="77777777" w:rsidR="005C620B" w:rsidRPr="005C620B" w:rsidRDefault="005C620B" w:rsidP="005C620B">
            <w:pPr>
              <w:rPr>
                <w:lang w:val="en-US"/>
              </w:rPr>
            </w:pPr>
            <w:r w:rsidRPr="005C620B">
              <w:rPr>
                <w:lang w:val="en-US"/>
              </w:rPr>
              <w:lastRenderedPageBreak/>
              <w:t>Activities / Process</w:t>
            </w:r>
          </w:p>
        </w:tc>
        <w:tc>
          <w:tcPr>
            <w:tcW w:w="4320" w:type="dxa"/>
            <w:hideMark/>
          </w:tcPr>
          <w:p w14:paraId="02F319DC" w14:textId="77777777" w:rsidR="005C620B" w:rsidRPr="005C620B" w:rsidRDefault="005C620B" w:rsidP="005C620B">
            <w:pPr>
              <w:rPr>
                <w:lang w:val="en-US"/>
              </w:rPr>
            </w:pPr>
            <w:r w:rsidRPr="005C620B">
              <w:rPr>
                <w:lang w:val="en-US"/>
              </w:rPr>
              <w:t>Exposure to HE campus environment</w:t>
            </w:r>
            <w:r w:rsidRPr="005C620B">
              <w:rPr>
                <w:lang w:val="en-US"/>
              </w:rPr>
              <w:br/>
              <w:t>Opportunity to learn about HE/process</w:t>
            </w:r>
            <w:r w:rsidRPr="005C620B">
              <w:rPr>
                <w:lang w:val="en-US"/>
              </w:rPr>
              <w:br/>
              <w:t>Opportunity to develop skills and confidence</w:t>
            </w:r>
            <w:r w:rsidRPr="005C620B">
              <w:rPr>
                <w:lang w:val="en-US"/>
              </w:rPr>
              <w:br/>
              <w:t>Campus visit to give students exposure and sense of belonging in a HE environment</w:t>
            </w:r>
            <w:r w:rsidRPr="005C620B">
              <w:rPr>
                <w:lang w:val="en-US"/>
              </w:rPr>
              <w:br/>
              <w:t>Student ambassador engagement to give exposure to current students, increasing sense of belonging</w:t>
            </w:r>
            <w:r w:rsidRPr="005C620B">
              <w:rPr>
                <w:lang w:val="en-US"/>
              </w:rPr>
              <w:br/>
              <w:t>Support for applicants to increase confidence and knowledge to navigate the application process</w:t>
            </w:r>
            <w:r w:rsidRPr="005C620B">
              <w:rPr>
                <w:lang w:val="en-US"/>
              </w:rPr>
              <w:br/>
              <w:t>Study skills sessions to increase academic confidence</w:t>
            </w:r>
            <w:r w:rsidRPr="005C620B">
              <w:rPr>
                <w:lang w:val="en-US"/>
              </w:rPr>
              <w:br/>
              <w:t>OOC</w:t>
            </w:r>
            <w:r w:rsidRPr="005C620B">
              <w:rPr>
                <w:lang w:val="en-US"/>
              </w:rPr>
              <w:br/>
            </w:r>
            <w:proofErr w:type="spellStart"/>
            <w:r w:rsidRPr="005C620B">
              <w:rPr>
                <w:lang w:val="en-US"/>
              </w:rPr>
              <w:t>Unibuddy</w:t>
            </w:r>
            <w:proofErr w:type="spellEnd"/>
            <w:r w:rsidRPr="005C620B">
              <w:rPr>
                <w:lang w:val="en-US"/>
              </w:rPr>
              <w:t xml:space="preserve"> Community to help foster a sense of belonging and reduce unease about going to University</w:t>
            </w:r>
          </w:p>
        </w:tc>
      </w:tr>
      <w:tr w:rsidR="005C620B" w:rsidRPr="005C620B" w14:paraId="6FEC651D" w14:textId="77777777" w:rsidTr="005C620B">
        <w:tc>
          <w:tcPr>
            <w:tcW w:w="4320" w:type="dxa"/>
            <w:hideMark/>
          </w:tcPr>
          <w:p w14:paraId="352386D0" w14:textId="77777777" w:rsidR="005C620B" w:rsidRPr="005C620B" w:rsidRDefault="005C620B" w:rsidP="005C620B">
            <w:pPr>
              <w:rPr>
                <w:lang w:val="en-US"/>
              </w:rPr>
            </w:pPr>
            <w:r w:rsidRPr="005C620B">
              <w:rPr>
                <w:lang w:val="en-US"/>
              </w:rPr>
              <w:t>Outputs</w:t>
            </w:r>
          </w:p>
        </w:tc>
        <w:tc>
          <w:tcPr>
            <w:tcW w:w="4320" w:type="dxa"/>
            <w:hideMark/>
          </w:tcPr>
          <w:p w14:paraId="2EF7B520" w14:textId="46CDC086" w:rsidR="005C620B" w:rsidRPr="005C620B" w:rsidRDefault="005C620B" w:rsidP="005C620B">
            <w:pPr>
              <w:rPr>
                <w:lang w:val="en-US"/>
              </w:rPr>
            </w:pPr>
            <w:r w:rsidRPr="005C620B">
              <w:rPr>
                <w:lang w:val="en-US"/>
              </w:rPr>
              <w:t>Increased knowledge of what to expect when they get to university, social and academic</w:t>
            </w:r>
            <w:r w:rsidRPr="005C620B">
              <w:rPr>
                <w:lang w:val="en-US"/>
              </w:rPr>
              <w:br/>
              <w:t>Increased sense of belonging (pre -HE)</w:t>
            </w:r>
            <w:r w:rsidRPr="005C620B">
              <w:rPr>
                <w:lang w:val="en-US"/>
              </w:rPr>
              <w:br/>
              <w:t>Reduced concerns around accessing HE (</w:t>
            </w:r>
            <w:r w:rsidR="001902CB" w:rsidRPr="005C620B">
              <w:rPr>
                <w:lang w:val="en-US"/>
              </w:rPr>
              <w:t>e.g.</w:t>
            </w:r>
            <w:r w:rsidRPr="005C620B">
              <w:rPr>
                <w:lang w:val="en-US"/>
              </w:rPr>
              <w:t xml:space="preserve"> financially, academically, role models)</w:t>
            </w:r>
            <w:r w:rsidRPr="005C620B">
              <w:rPr>
                <w:lang w:val="en-US"/>
              </w:rPr>
              <w:br/>
              <w:t>Increased confidence around university life and support systems</w:t>
            </w:r>
          </w:p>
        </w:tc>
      </w:tr>
      <w:tr w:rsidR="005C620B" w:rsidRPr="005C620B" w14:paraId="028F9047" w14:textId="77777777" w:rsidTr="005C620B">
        <w:tc>
          <w:tcPr>
            <w:tcW w:w="4320" w:type="dxa"/>
            <w:hideMark/>
          </w:tcPr>
          <w:p w14:paraId="5AEFF73B" w14:textId="77777777" w:rsidR="005C620B" w:rsidRPr="005C620B" w:rsidRDefault="005C620B" w:rsidP="005C620B">
            <w:pPr>
              <w:rPr>
                <w:lang w:val="en-US"/>
              </w:rPr>
            </w:pPr>
            <w:r w:rsidRPr="005C620B">
              <w:rPr>
                <w:lang w:val="en-US"/>
              </w:rPr>
              <w:t>Outcomes</w:t>
            </w:r>
          </w:p>
        </w:tc>
        <w:tc>
          <w:tcPr>
            <w:tcW w:w="4320" w:type="dxa"/>
            <w:hideMark/>
          </w:tcPr>
          <w:p w14:paraId="42EC6947" w14:textId="77777777" w:rsidR="005C620B" w:rsidRPr="005C620B" w:rsidRDefault="005C620B" w:rsidP="005C620B">
            <w:pPr>
              <w:rPr>
                <w:lang w:val="en-US"/>
              </w:rPr>
            </w:pPr>
            <w:r w:rsidRPr="005C620B">
              <w:rPr>
                <w:lang w:val="en-US"/>
              </w:rPr>
              <w:t>Enrolment in HE</w:t>
            </w:r>
            <w:r w:rsidRPr="005C620B">
              <w:rPr>
                <w:lang w:val="en-US"/>
              </w:rPr>
              <w:br/>
              <w:t>Ideally enrolment specifically to UoR</w:t>
            </w:r>
            <w:r w:rsidRPr="005C620B">
              <w:rPr>
                <w:lang w:val="en-US"/>
              </w:rPr>
              <w:br/>
              <w:t>Resulting in University of Reading having a more diverse and representative student population</w:t>
            </w:r>
          </w:p>
        </w:tc>
      </w:tr>
      <w:tr w:rsidR="005C620B" w:rsidRPr="005C620B" w14:paraId="15874E18" w14:textId="77777777" w:rsidTr="005C620B">
        <w:tc>
          <w:tcPr>
            <w:tcW w:w="4320" w:type="dxa"/>
            <w:hideMark/>
          </w:tcPr>
          <w:p w14:paraId="589EB235" w14:textId="77777777" w:rsidR="005C620B" w:rsidRPr="005C620B" w:rsidRDefault="005C620B" w:rsidP="005C620B">
            <w:pPr>
              <w:rPr>
                <w:lang w:val="en-US"/>
              </w:rPr>
            </w:pPr>
            <w:r w:rsidRPr="005C620B">
              <w:rPr>
                <w:lang w:val="en-US"/>
              </w:rPr>
              <w:t>Impact</w:t>
            </w:r>
          </w:p>
        </w:tc>
        <w:tc>
          <w:tcPr>
            <w:tcW w:w="4320" w:type="dxa"/>
            <w:hideMark/>
          </w:tcPr>
          <w:p w14:paraId="5B2780DC" w14:textId="77777777" w:rsidR="005C620B" w:rsidRPr="005C620B" w:rsidRDefault="005C620B" w:rsidP="005C620B">
            <w:pPr>
              <w:rPr>
                <w:lang w:val="en-US"/>
              </w:rPr>
            </w:pPr>
            <w:r w:rsidRPr="005C620B">
              <w:rPr>
                <w:lang w:val="en-US"/>
              </w:rPr>
              <w:t>Enrolment in HE</w:t>
            </w:r>
            <w:r w:rsidRPr="005C620B">
              <w:rPr>
                <w:lang w:val="en-US"/>
              </w:rPr>
              <w:br/>
              <w:t>Ideally enrolment specifically to UoR</w:t>
            </w:r>
            <w:r w:rsidRPr="005C620B">
              <w:rPr>
                <w:lang w:val="en-US"/>
              </w:rPr>
              <w:br/>
              <w:t>Resulting in University of Reading having a more diverse and representative student population</w:t>
            </w:r>
          </w:p>
        </w:tc>
      </w:tr>
      <w:tr w:rsidR="005C620B" w:rsidRPr="005C620B" w14:paraId="5FCFD279" w14:textId="77777777" w:rsidTr="005C620B">
        <w:tc>
          <w:tcPr>
            <w:tcW w:w="4320" w:type="dxa"/>
            <w:hideMark/>
          </w:tcPr>
          <w:p w14:paraId="02CB9DDA" w14:textId="77777777" w:rsidR="005C620B" w:rsidRPr="005C620B" w:rsidRDefault="005C620B" w:rsidP="005C620B">
            <w:pPr>
              <w:rPr>
                <w:lang w:val="en-US"/>
              </w:rPr>
            </w:pPr>
            <w:r w:rsidRPr="005C620B">
              <w:rPr>
                <w:lang w:val="en-US"/>
              </w:rPr>
              <w:t>Rationale &amp; Assumptions</w:t>
            </w:r>
          </w:p>
        </w:tc>
        <w:tc>
          <w:tcPr>
            <w:tcW w:w="4320" w:type="dxa"/>
            <w:hideMark/>
          </w:tcPr>
          <w:p w14:paraId="58737156" w14:textId="26586D40" w:rsidR="005C620B" w:rsidRPr="005C620B" w:rsidRDefault="005C620B" w:rsidP="005C620B">
            <w:pPr>
              <w:rPr>
                <w:lang w:val="en-US"/>
              </w:rPr>
            </w:pPr>
            <w:r w:rsidRPr="005C620B">
              <w:rPr>
                <w:lang w:val="en-US"/>
              </w:rPr>
              <w:t xml:space="preserve">We assume that students will engage with all aspects of the </w:t>
            </w:r>
            <w:proofErr w:type="spellStart"/>
            <w:r w:rsidRPr="005C620B">
              <w:rPr>
                <w:lang w:val="en-US"/>
              </w:rPr>
              <w:t>programme</w:t>
            </w:r>
            <w:proofErr w:type="spellEnd"/>
            <w:r w:rsidRPr="005C620B">
              <w:rPr>
                <w:lang w:val="en-US"/>
              </w:rPr>
              <w:t xml:space="preserve">, particularly the online aspects. We </w:t>
            </w:r>
            <w:r w:rsidRPr="005C620B">
              <w:rPr>
                <w:lang w:val="en-US"/>
              </w:rPr>
              <w:lastRenderedPageBreak/>
              <w:t xml:space="preserve">assume that students will participate in the in-person event as a key component of the </w:t>
            </w:r>
            <w:proofErr w:type="spellStart"/>
            <w:r w:rsidRPr="005C620B">
              <w:rPr>
                <w:lang w:val="en-US"/>
              </w:rPr>
              <w:t>programme</w:t>
            </w:r>
            <w:proofErr w:type="spellEnd"/>
            <w:r w:rsidRPr="005C620B">
              <w:rPr>
                <w:lang w:val="en-US"/>
              </w:rPr>
              <w:t>, or if not, attend the open day as an alternative. We assume that confidence and knowledge are the key barriers to enrolment for the target groups, rather than another challenge such as grades.</w:t>
            </w:r>
            <w:r w:rsidRPr="005C620B">
              <w:rPr>
                <w:lang w:val="en-US"/>
              </w:rPr>
              <w:br/>
            </w:r>
          </w:p>
        </w:tc>
      </w:tr>
    </w:tbl>
    <w:p w14:paraId="42CA61D2" w14:textId="77777777" w:rsidR="005C620B" w:rsidRPr="005C620B" w:rsidRDefault="005C620B" w:rsidP="005C620B">
      <w:pPr>
        <w:rPr>
          <w:lang w:val="en-US"/>
        </w:rPr>
      </w:pPr>
    </w:p>
    <w:p w14:paraId="59CE98F4" w14:textId="1F25D9C7" w:rsidR="00AA47AB" w:rsidRDefault="00AA47AB" w:rsidP="009271C6"/>
    <w:sectPr w:rsidR="00AA47AB" w:rsidSect="00185771">
      <w:pgSz w:w="11906" w:h="16840"/>
      <w:pgMar w:top="1134" w:right="73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1CB72" w14:textId="77777777" w:rsidR="00654B8F" w:rsidRDefault="00654B8F">
      <w:pPr>
        <w:spacing w:before="0" w:line="240" w:lineRule="auto"/>
      </w:pPr>
      <w:r>
        <w:separator/>
      </w:r>
    </w:p>
  </w:endnote>
  <w:endnote w:type="continuationSeparator" w:id="0">
    <w:p w14:paraId="355DC117" w14:textId="77777777" w:rsidR="00654B8F" w:rsidRDefault="00654B8F">
      <w:pPr>
        <w:spacing w:before="0" w:line="240" w:lineRule="auto"/>
      </w:pPr>
      <w:r>
        <w:continuationSeparator/>
      </w:r>
    </w:p>
  </w:endnote>
  <w:endnote w:type="continuationNotice" w:id="1">
    <w:p w14:paraId="78DD0F46" w14:textId="77777777" w:rsidR="00654B8F" w:rsidRDefault="00654B8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ffr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embedRegular r:id="rId1" w:fontKey="{BD73EE4F-595E-432F-89C0-86904BB61095}"/>
  </w:font>
  <w:font w:name="___WRD_EMBED_SUB_42">
    <w:charset w:val="00"/>
    <w:family w:val="roman"/>
    <w:pitch w:val="default"/>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embedRegular r:id="rId2" w:fontKey="{331727B3-8AF3-410B-8880-8BE1FEBEA9DD}"/>
  </w:font>
  <w:font w:name="Effra 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A596" w14:textId="66C0F496" w:rsidR="001C4E5B" w:rsidRPr="00F83BB9" w:rsidRDefault="000F7D30" w:rsidP="00F83BB9">
    <w:pPr>
      <w:pStyle w:val="Header"/>
    </w:pPr>
    <w:r w:rsidRPr="00F83BB9">
      <w:t xml:space="preserve">©University of Reading </w:t>
    </w:r>
    <w:r w:rsidRPr="00F83BB9">
      <w:fldChar w:fldCharType="begin"/>
    </w:r>
    <w:r w:rsidRPr="00F83BB9">
      <w:instrText xml:space="preserve"> DATE  \@ "YYYY"  \* MERGEFORMAT </w:instrText>
    </w:r>
    <w:r w:rsidRPr="00F83BB9">
      <w:fldChar w:fldCharType="separate"/>
    </w:r>
    <w:r w:rsidR="00CC268D">
      <w:rPr>
        <w:noProof/>
      </w:rPr>
      <w:t>2026</w:t>
    </w:r>
    <w:r w:rsidRPr="00F83BB9">
      <w:fldChar w:fldCharType="end"/>
    </w:r>
    <w:r w:rsidRPr="00F83BB9">
      <w:tab/>
    </w:r>
    <w:r w:rsidRPr="00F83BB9">
      <w:tab/>
      <w:t xml:space="preserve">Page </w:t>
    </w:r>
    <w:r w:rsidRPr="00F83BB9">
      <w:fldChar w:fldCharType="begin"/>
    </w:r>
    <w:r w:rsidRPr="00F83BB9">
      <w:instrText xml:space="preserve"> PAGE </w:instrText>
    </w:r>
    <w:r w:rsidRPr="00F83BB9">
      <w:fldChar w:fldCharType="separate"/>
    </w:r>
    <w:r w:rsidR="0060000B" w:rsidRPr="00F83BB9">
      <w:rPr>
        <w:noProof/>
      </w:rPr>
      <w:t>3</w:t>
    </w:r>
    <w:r w:rsidRPr="00F83BB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873" w14:textId="346252C2" w:rsidR="006940AE" w:rsidRPr="006940AE" w:rsidRDefault="00841B35" w:rsidP="00F83BB9">
    <w:pPr>
      <w:pStyle w:val="Header"/>
    </w:pPr>
    <w:r>
      <w:t xml:space="preserve">©University of Reading </w:t>
    </w:r>
    <w:r>
      <w:fldChar w:fldCharType="begin"/>
    </w:r>
    <w:r>
      <w:instrText xml:space="preserve"> DATE  \@ "YYYY"  \* MERGEFORMAT </w:instrText>
    </w:r>
    <w:r>
      <w:fldChar w:fldCharType="separate"/>
    </w:r>
    <w:r w:rsidR="00CC268D">
      <w:rPr>
        <w:noProof/>
      </w:rPr>
      <w:t>2026</w:t>
    </w:r>
    <w:r>
      <w:fldChar w:fldCharType="end"/>
    </w:r>
    <w:r>
      <w:tab/>
    </w:r>
    <w:r>
      <w:tab/>
      <w:t xml:space="preserve">Page </w:t>
    </w:r>
    <w:r w:rsidRPr="007A6817">
      <w:fldChar w:fldCharType="begin"/>
    </w:r>
    <w:r w:rsidRPr="007A6817">
      <w:instrText xml:space="preserve"> PAGE </w:instrText>
    </w:r>
    <w:r w:rsidRPr="007A6817">
      <w:fldChar w:fldCharType="separate"/>
    </w:r>
    <w:r w:rsidR="0038453C">
      <w:rPr>
        <w:noProof/>
      </w:rPr>
      <w:t>1</w:t>
    </w:r>
    <w:r w:rsidRPr="007A681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89DFA" w14:textId="77777777" w:rsidR="00654B8F" w:rsidRDefault="00654B8F">
      <w:pPr>
        <w:spacing w:before="0" w:line="240" w:lineRule="auto"/>
      </w:pPr>
      <w:bookmarkStart w:id="0" w:name="_Hlk191545550"/>
      <w:bookmarkEnd w:id="0"/>
      <w:r>
        <w:separator/>
      </w:r>
    </w:p>
  </w:footnote>
  <w:footnote w:type="continuationSeparator" w:id="0">
    <w:p w14:paraId="77173BEE" w14:textId="77777777" w:rsidR="00654B8F" w:rsidRDefault="00654B8F">
      <w:pPr>
        <w:spacing w:before="0" w:line="240" w:lineRule="auto"/>
      </w:pPr>
      <w:r>
        <w:continuationSeparator/>
      </w:r>
    </w:p>
  </w:footnote>
  <w:footnote w:type="continuationNotice" w:id="1">
    <w:p w14:paraId="61A0034B" w14:textId="77777777" w:rsidR="00654B8F" w:rsidRDefault="00654B8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E05E" w14:textId="5762B4E2" w:rsidR="0038453C" w:rsidRPr="000F7D30" w:rsidRDefault="2E32142D" w:rsidP="00F83BB9">
    <w:pPr>
      <w:pStyle w:val="Header"/>
    </w:pPr>
    <w:r>
      <w:t>APP Evaluation: Access Reading, 2024-25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23CCF" w14:textId="77777777" w:rsidR="00431585" w:rsidRPr="000F7D30" w:rsidRDefault="00431585" w:rsidP="00431585">
    <w:pPr>
      <w:pStyle w:val="Header"/>
    </w:pPr>
    <w:r>
      <w:t>APP Evaluation: Access Reading, 2024-25</w:t>
    </w:r>
  </w:p>
  <w:p w14:paraId="3F0CE8A9" w14:textId="0011F79C" w:rsidR="00EC4BD3" w:rsidRDefault="00F177B4" w:rsidP="00EC4BD3">
    <w:pPr>
      <w:pStyle w:val="UoRUnitname"/>
      <w:rPr>
        <w:noProof/>
        <w:lang w:eastAsia="en-GB"/>
      </w:rPr>
    </w:pPr>
    <w:r w:rsidRPr="00F177B4">
      <w:rPr>
        <w:bCs/>
        <w:sz w:val="20"/>
        <w:szCs w:val="20"/>
      </w:rPr>
      <w:t> </w:t>
    </w:r>
    <w:r w:rsidR="00EC4BD3">
      <w:br/>
    </w:r>
    <w:r w:rsidR="00EC4BD3">
      <w:br/>
    </w:r>
    <w:r w:rsidR="00EC4BD3">
      <w:ptab w:relativeTo="margin" w:alignment="right" w:leader="none"/>
    </w:r>
    <w:r w:rsidR="00B3693C">
      <w:rPr>
        <w:noProof/>
        <w:lang w:eastAsia="en-GB"/>
      </w:rPr>
      <w:drawing>
        <wp:inline distT="0" distB="0" distL="0" distR="0" wp14:anchorId="06131DFC" wp14:editId="1A5FC9CF">
          <wp:extent cx="1511935" cy="487680"/>
          <wp:effectExtent l="0" t="0" r="0" b="7620"/>
          <wp:docPr id="1332042892" name="Picture 1332042892" descr="University of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487680"/>
                  </a:xfrm>
                  <a:prstGeom prst="rect">
                    <a:avLst/>
                  </a:prstGeom>
                  <a:noFill/>
                </pic:spPr>
              </pic:pic>
            </a:graphicData>
          </a:graphic>
        </wp:inline>
      </w:drawing>
    </w:r>
    <w:r w:rsidR="00EC4BD3">
      <w:rPr>
        <w:noProof/>
        <w:lang w:eastAsia="en-GB"/>
      </w:rPr>
      <w:br/>
    </w:r>
  </w:p>
  <w:p w14:paraId="53C70A48" w14:textId="77777777" w:rsidR="00EC4BD3" w:rsidRPr="00EC4BD3" w:rsidRDefault="00EC4BD3" w:rsidP="00EC4BD3">
    <w:pPr>
      <w:pStyle w:val="UoRUnitname"/>
      <w:rPr>
        <w:noProof/>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B9B"/>
    <w:multiLevelType w:val="hybridMultilevel"/>
    <w:tmpl w:val="8158999E"/>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 w15:restartNumberingAfterBreak="0">
    <w:nsid w:val="1433285E"/>
    <w:multiLevelType w:val="hybridMultilevel"/>
    <w:tmpl w:val="92FE7CE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15284657"/>
    <w:multiLevelType w:val="hybridMultilevel"/>
    <w:tmpl w:val="B016E76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9408C2"/>
    <w:multiLevelType w:val="hybridMultilevel"/>
    <w:tmpl w:val="14403DB6"/>
    <w:lvl w:ilvl="0" w:tplc="D3A4DBE8">
      <w:start w:val="1"/>
      <w:numFmt w:val="decimal"/>
      <w:pStyle w:val="ListParagraph"/>
      <w:lvlText w:val="%1."/>
      <w:lvlJc w:val="left"/>
      <w:pPr>
        <w:ind w:left="1437" w:hanging="360"/>
      </w:pPr>
      <w:rPr>
        <w:rFonts w:hint="default"/>
        <w:b/>
        <w:i w:val="0"/>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736787"/>
    <w:multiLevelType w:val="hybridMultilevel"/>
    <w:tmpl w:val="DCB24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91422"/>
    <w:multiLevelType w:val="multilevel"/>
    <w:tmpl w:val="232E05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F61C60"/>
    <w:multiLevelType w:val="multilevel"/>
    <w:tmpl w:val="AB3C8F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064EEB"/>
    <w:multiLevelType w:val="hybridMultilevel"/>
    <w:tmpl w:val="8B8AC598"/>
    <w:lvl w:ilvl="0" w:tplc="08090001">
      <w:start w:val="1"/>
      <w:numFmt w:val="bullet"/>
      <w:lvlText w:val=""/>
      <w:lvlJc w:val="left"/>
      <w:pPr>
        <w:ind w:left="1003"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766CD3"/>
    <w:multiLevelType w:val="hybridMultilevel"/>
    <w:tmpl w:val="CAFE1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2A1E51"/>
    <w:multiLevelType w:val="hybridMultilevel"/>
    <w:tmpl w:val="A404C02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0" w15:restartNumberingAfterBreak="0">
    <w:nsid w:val="34026646"/>
    <w:multiLevelType w:val="hybridMultilevel"/>
    <w:tmpl w:val="19B0BAF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9F47860"/>
    <w:multiLevelType w:val="hybridMultilevel"/>
    <w:tmpl w:val="7DEC279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3D0A5A58"/>
    <w:multiLevelType w:val="hybridMultilevel"/>
    <w:tmpl w:val="38381FB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3" w15:restartNumberingAfterBreak="0">
    <w:nsid w:val="41A05F98"/>
    <w:multiLevelType w:val="hybridMultilevel"/>
    <w:tmpl w:val="13702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97F5F"/>
    <w:multiLevelType w:val="hybridMultilevel"/>
    <w:tmpl w:val="59686F2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5" w15:restartNumberingAfterBreak="0">
    <w:nsid w:val="441772DE"/>
    <w:multiLevelType w:val="hybridMultilevel"/>
    <w:tmpl w:val="ECD6676E"/>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6" w15:restartNumberingAfterBreak="0">
    <w:nsid w:val="4A9336BB"/>
    <w:multiLevelType w:val="hybridMultilevel"/>
    <w:tmpl w:val="DD525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134882"/>
    <w:multiLevelType w:val="hybridMultilevel"/>
    <w:tmpl w:val="53C29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7252B2"/>
    <w:multiLevelType w:val="hybridMultilevel"/>
    <w:tmpl w:val="83B06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492492"/>
    <w:multiLevelType w:val="hybridMultilevel"/>
    <w:tmpl w:val="8D383E9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6B01A9"/>
    <w:multiLevelType w:val="hybridMultilevel"/>
    <w:tmpl w:val="99DE7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E445F"/>
    <w:multiLevelType w:val="multilevel"/>
    <w:tmpl w:val="6D84D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4F4391"/>
    <w:multiLevelType w:val="multilevel"/>
    <w:tmpl w:val="A89CD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6C0281"/>
    <w:multiLevelType w:val="hybridMultilevel"/>
    <w:tmpl w:val="713A5DF8"/>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num w:numId="1" w16cid:durableId="1039478620">
    <w:abstractNumId w:val="3"/>
  </w:num>
  <w:num w:numId="2" w16cid:durableId="2096172826">
    <w:abstractNumId w:val="1"/>
  </w:num>
  <w:num w:numId="3" w16cid:durableId="1551653453">
    <w:abstractNumId w:val="0"/>
  </w:num>
  <w:num w:numId="4" w16cid:durableId="1756390071">
    <w:abstractNumId w:val="18"/>
  </w:num>
  <w:num w:numId="5" w16cid:durableId="1202743994">
    <w:abstractNumId w:val="11"/>
  </w:num>
  <w:num w:numId="6" w16cid:durableId="2051220490">
    <w:abstractNumId w:val="12"/>
  </w:num>
  <w:num w:numId="7" w16cid:durableId="171265053">
    <w:abstractNumId w:val="14"/>
  </w:num>
  <w:num w:numId="8" w16cid:durableId="982660322">
    <w:abstractNumId w:val="23"/>
  </w:num>
  <w:num w:numId="9" w16cid:durableId="2120104857">
    <w:abstractNumId w:val="9"/>
  </w:num>
  <w:num w:numId="10" w16cid:durableId="165554883">
    <w:abstractNumId w:val="15"/>
  </w:num>
  <w:num w:numId="11" w16cid:durableId="1811315210">
    <w:abstractNumId w:val="4"/>
  </w:num>
  <w:num w:numId="12" w16cid:durableId="141315484">
    <w:abstractNumId w:val="17"/>
  </w:num>
  <w:num w:numId="13" w16cid:durableId="1015687561">
    <w:abstractNumId w:val="8"/>
  </w:num>
  <w:num w:numId="14" w16cid:durableId="1905139696">
    <w:abstractNumId w:val="22"/>
  </w:num>
  <w:num w:numId="15" w16cid:durableId="200826989">
    <w:abstractNumId w:val="21"/>
  </w:num>
  <w:num w:numId="16" w16cid:durableId="419569149">
    <w:abstractNumId w:val="5"/>
  </w:num>
  <w:num w:numId="17" w16cid:durableId="1626809883">
    <w:abstractNumId w:val="6"/>
  </w:num>
  <w:num w:numId="18" w16cid:durableId="1485507429">
    <w:abstractNumId w:val="13"/>
  </w:num>
  <w:num w:numId="19" w16cid:durableId="1444962835">
    <w:abstractNumId w:val="7"/>
  </w:num>
  <w:num w:numId="20" w16cid:durableId="1046104440">
    <w:abstractNumId w:val="16"/>
  </w:num>
  <w:num w:numId="21" w16cid:durableId="1974559776">
    <w:abstractNumId w:val="20"/>
  </w:num>
  <w:num w:numId="22" w16cid:durableId="934242032">
    <w:abstractNumId w:val="19"/>
  </w:num>
  <w:num w:numId="23" w16cid:durableId="1561553957">
    <w:abstractNumId w:val="10"/>
  </w:num>
  <w:num w:numId="24" w16cid:durableId="744298622">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3C"/>
    <w:rsid w:val="000026AC"/>
    <w:rsid w:val="000030F9"/>
    <w:rsid w:val="00007C76"/>
    <w:rsid w:val="00010CD5"/>
    <w:rsid w:val="000168DE"/>
    <w:rsid w:val="000177D5"/>
    <w:rsid w:val="000211D9"/>
    <w:rsid w:val="000215FE"/>
    <w:rsid w:val="00022F50"/>
    <w:rsid w:val="00023DCC"/>
    <w:rsid w:val="000263D5"/>
    <w:rsid w:val="000273B1"/>
    <w:rsid w:val="00027F76"/>
    <w:rsid w:val="00031021"/>
    <w:rsid w:val="00032CAF"/>
    <w:rsid w:val="0003462A"/>
    <w:rsid w:val="000352DF"/>
    <w:rsid w:val="00037CC2"/>
    <w:rsid w:val="000410B3"/>
    <w:rsid w:val="00045EAC"/>
    <w:rsid w:val="000460E7"/>
    <w:rsid w:val="00047CC5"/>
    <w:rsid w:val="00052477"/>
    <w:rsid w:val="000545A3"/>
    <w:rsid w:val="00054B45"/>
    <w:rsid w:val="000566B1"/>
    <w:rsid w:val="000574C9"/>
    <w:rsid w:val="00057D44"/>
    <w:rsid w:val="00060C69"/>
    <w:rsid w:val="000648D1"/>
    <w:rsid w:val="00065212"/>
    <w:rsid w:val="00065241"/>
    <w:rsid w:val="000657F3"/>
    <w:rsid w:val="00071087"/>
    <w:rsid w:val="000718C5"/>
    <w:rsid w:val="00073BC9"/>
    <w:rsid w:val="00075814"/>
    <w:rsid w:val="00081F51"/>
    <w:rsid w:val="000835E2"/>
    <w:rsid w:val="00092F95"/>
    <w:rsid w:val="00095D8A"/>
    <w:rsid w:val="00096BDE"/>
    <w:rsid w:val="000A01E0"/>
    <w:rsid w:val="000A0843"/>
    <w:rsid w:val="000A0D69"/>
    <w:rsid w:val="000A3BB7"/>
    <w:rsid w:val="000B027D"/>
    <w:rsid w:val="000B0EF5"/>
    <w:rsid w:val="000B314D"/>
    <w:rsid w:val="000C10B1"/>
    <w:rsid w:val="000C2697"/>
    <w:rsid w:val="000C768F"/>
    <w:rsid w:val="000D6421"/>
    <w:rsid w:val="000E1538"/>
    <w:rsid w:val="000E1558"/>
    <w:rsid w:val="000E210B"/>
    <w:rsid w:val="000E2E66"/>
    <w:rsid w:val="000E33EA"/>
    <w:rsid w:val="000E793C"/>
    <w:rsid w:val="000E7B36"/>
    <w:rsid w:val="000F0926"/>
    <w:rsid w:val="000F1071"/>
    <w:rsid w:val="000F35B9"/>
    <w:rsid w:val="000F3BE2"/>
    <w:rsid w:val="000F609E"/>
    <w:rsid w:val="000F7D30"/>
    <w:rsid w:val="00101CC0"/>
    <w:rsid w:val="00103E90"/>
    <w:rsid w:val="001071D8"/>
    <w:rsid w:val="00111FB4"/>
    <w:rsid w:val="001125A5"/>
    <w:rsid w:val="001155D5"/>
    <w:rsid w:val="00120F66"/>
    <w:rsid w:val="001229BC"/>
    <w:rsid w:val="00122C14"/>
    <w:rsid w:val="001254E7"/>
    <w:rsid w:val="00125755"/>
    <w:rsid w:val="00125A84"/>
    <w:rsid w:val="0013226B"/>
    <w:rsid w:val="0013690B"/>
    <w:rsid w:val="001403C5"/>
    <w:rsid w:val="00145040"/>
    <w:rsid w:val="001453CA"/>
    <w:rsid w:val="001505FF"/>
    <w:rsid w:val="00153704"/>
    <w:rsid w:val="001557C9"/>
    <w:rsid w:val="00162979"/>
    <w:rsid w:val="001634E5"/>
    <w:rsid w:val="00163F7C"/>
    <w:rsid w:val="00165CB6"/>
    <w:rsid w:val="00172469"/>
    <w:rsid w:val="001739F4"/>
    <w:rsid w:val="0017400D"/>
    <w:rsid w:val="00175227"/>
    <w:rsid w:val="001753FB"/>
    <w:rsid w:val="00176CC6"/>
    <w:rsid w:val="0017776E"/>
    <w:rsid w:val="00181DCC"/>
    <w:rsid w:val="001827A2"/>
    <w:rsid w:val="00182EF6"/>
    <w:rsid w:val="00183952"/>
    <w:rsid w:val="00184165"/>
    <w:rsid w:val="00184A0C"/>
    <w:rsid w:val="00184E7B"/>
    <w:rsid w:val="001850C3"/>
    <w:rsid w:val="00185771"/>
    <w:rsid w:val="00186633"/>
    <w:rsid w:val="0018688D"/>
    <w:rsid w:val="001902CB"/>
    <w:rsid w:val="001931DE"/>
    <w:rsid w:val="001948F5"/>
    <w:rsid w:val="00196E2C"/>
    <w:rsid w:val="001A2565"/>
    <w:rsid w:val="001A3185"/>
    <w:rsid w:val="001A3A80"/>
    <w:rsid w:val="001A41C6"/>
    <w:rsid w:val="001A4CBC"/>
    <w:rsid w:val="001A7A0D"/>
    <w:rsid w:val="001B2A4D"/>
    <w:rsid w:val="001B2C8C"/>
    <w:rsid w:val="001B780B"/>
    <w:rsid w:val="001C1ADC"/>
    <w:rsid w:val="001C219F"/>
    <w:rsid w:val="001C28DA"/>
    <w:rsid w:val="001C30E9"/>
    <w:rsid w:val="001C3B24"/>
    <w:rsid w:val="001C3CDD"/>
    <w:rsid w:val="001C4432"/>
    <w:rsid w:val="001C4E5B"/>
    <w:rsid w:val="001D0725"/>
    <w:rsid w:val="001D2E2E"/>
    <w:rsid w:val="001E340F"/>
    <w:rsid w:val="001E4AAA"/>
    <w:rsid w:val="001E6BFB"/>
    <w:rsid w:val="001F4A3C"/>
    <w:rsid w:val="001F7A23"/>
    <w:rsid w:val="002003B9"/>
    <w:rsid w:val="00204D23"/>
    <w:rsid w:val="0021043A"/>
    <w:rsid w:val="0021326E"/>
    <w:rsid w:val="0021423F"/>
    <w:rsid w:val="00220BD0"/>
    <w:rsid w:val="0022104D"/>
    <w:rsid w:val="002216BB"/>
    <w:rsid w:val="00224E13"/>
    <w:rsid w:val="00225E1B"/>
    <w:rsid w:val="0023174D"/>
    <w:rsid w:val="002336CC"/>
    <w:rsid w:val="0023682B"/>
    <w:rsid w:val="0024159C"/>
    <w:rsid w:val="00242532"/>
    <w:rsid w:val="002436D8"/>
    <w:rsid w:val="00250DBB"/>
    <w:rsid w:val="00253FFC"/>
    <w:rsid w:val="0025482D"/>
    <w:rsid w:val="0025566B"/>
    <w:rsid w:val="0026274C"/>
    <w:rsid w:val="00263A25"/>
    <w:rsid w:val="00265A19"/>
    <w:rsid w:val="00266633"/>
    <w:rsid w:val="00266D61"/>
    <w:rsid w:val="0027058D"/>
    <w:rsid w:val="002716E0"/>
    <w:rsid w:val="002738D6"/>
    <w:rsid w:val="00275AC8"/>
    <w:rsid w:val="002769B2"/>
    <w:rsid w:val="00277888"/>
    <w:rsid w:val="00277DD4"/>
    <w:rsid w:val="00277F1E"/>
    <w:rsid w:val="00282C84"/>
    <w:rsid w:val="00283B50"/>
    <w:rsid w:val="00286ADA"/>
    <w:rsid w:val="002A0144"/>
    <w:rsid w:val="002A0830"/>
    <w:rsid w:val="002A13B7"/>
    <w:rsid w:val="002A1578"/>
    <w:rsid w:val="002A3501"/>
    <w:rsid w:val="002A4F2D"/>
    <w:rsid w:val="002B0107"/>
    <w:rsid w:val="002B1AEA"/>
    <w:rsid w:val="002B23D7"/>
    <w:rsid w:val="002B4FEC"/>
    <w:rsid w:val="002B6002"/>
    <w:rsid w:val="002C1877"/>
    <w:rsid w:val="002C29A7"/>
    <w:rsid w:val="002C2D25"/>
    <w:rsid w:val="002D03F0"/>
    <w:rsid w:val="002D1AD8"/>
    <w:rsid w:val="002D5612"/>
    <w:rsid w:val="002D623D"/>
    <w:rsid w:val="002E0397"/>
    <w:rsid w:val="002E041D"/>
    <w:rsid w:val="002E069C"/>
    <w:rsid w:val="002E2C42"/>
    <w:rsid w:val="002E55E4"/>
    <w:rsid w:val="002E5D94"/>
    <w:rsid w:val="002E60A7"/>
    <w:rsid w:val="002F0DCB"/>
    <w:rsid w:val="002F286A"/>
    <w:rsid w:val="002F2DF2"/>
    <w:rsid w:val="002F4904"/>
    <w:rsid w:val="002F62AA"/>
    <w:rsid w:val="00302CF0"/>
    <w:rsid w:val="00303491"/>
    <w:rsid w:val="00303FA9"/>
    <w:rsid w:val="00304A11"/>
    <w:rsid w:val="003056B0"/>
    <w:rsid w:val="00306B96"/>
    <w:rsid w:val="003075C6"/>
    <w:rsid w:val="00312D40"/>
    <w:rsid w:val="0031303B"/>
    <w:rsid w:val="00313730"/>
    <w:rsid w:val="00315B60"/>
    <w:rsid w:val="00317A8B"/>
    <w:rsid w:val="00323B10"/>
    <w:rsid w:val="00326C6B"/>
    <w:rsid w:val="00327549"/>
    <w:rsid w:val="003278A3"/>
    <w:rsid w:val="00330BB4"/>
    <w:rsid w:val="00331334"/>
    <w:rsid w:val="00333115"/>
    <w:rsid w:val="003349DB"/>
    <w:rsid w:val="00334CB9"/>
    <w:rsid w:val="00342850"/>
    <w:rsid w:val="00344A55"/>
    <w:rsid w:val="00345436"/>
    <w:rsid w:val="00345FAE"/>
    <w:rsid w:val="00346CB4"/>
    <w:rsid w:val="00350E25"/>
    <w:rsid w:val="00352B51"/>
    <w:rsid w:val="0035408E"/>
    <w:rsid w:val="0035432B"/>
    <w:rsid w:val="00354A62"/>
    <w:rsid w:val="0035582D"/>
    <w:rsid w:val="0035598C"/>
    <w:rsid w:val="00356550"/>
    <w:rsid w:val="00360444"/>
    <w:rsid w:val="0036392C"/>
    <w:rsid w:val="003662BA"/>
    <w:rsid w:val="00371238"/>
    <w:rsid w:val="00372AFB"/>
    <w:rsid w:val="00373D3B"/>
    <w:rsid w:val="00381217"/>
    <w:rsid w:val="00382085"/>
    <w:rsid w:val="0038419C"/>
    <w:rsid w:val="0038453C"/>
    <w:rsid w:val="00386F26"/>
    <w:rsid w:val="00387212"/>
    <w:rsid w:val="0039250F"/>
    <w:rsid w:val="00392DD9"/>
    <w:rsid w:val="00392FE4"/>
    <w:rsid w:val="0039775B"/>
    <w:rsid w:val="003A1303"/>
    <w:rsid w:val="003A2978"/>
    <w:rsid w:val="003A3631"/>
    <w:rsid w:val="003A431C"/>
    <w:rsid w:val="003A4F36"/>
    <w:rsid w:val="003B1254"/>
    <w:rsid w:val="003B3C2B"/>
    <w:rsid w:val="003B7655"/>
    <w:rsid w:val="003B7B04"/>
    <w:rsid w:val="003B7C13"/>
    <w:rsid w:val="003C18A3"/>
    <w:rsid w:val="003C2681"/>
    <w:rsid w:val="003C26FD"/>
    <w:rsid w:val="003C3494"/>
    <w:rsid w:val="003C5121"/>
    <w:rsid w:val="003D14AE"/>
    <w:rsid w:val="003D639C"/>
    <w:rsid w:val="003D6D98"/>
    <w:rsid w:val="003E0E72"/>
    <w:rsid w:val="003E1ED1"/>
    <w:rsid w:val="003F290D"/>
    <w:rsid w:val="003F68AC"/>
    <w:rsid w:val="003F6A0F"/>
    <w:rsid w:val="003F73C7"/>
    <w:rsid w:val="0040321D"/>
    <w:rsid w:val="0040788B"/>
    <w:rsid w:val="00411D97"/>
    <w:rsid w:val="00411EB7"/>
    <w:rsid w:val="00412C35"/>
    <w:rsid w:val="00412CFC"/>
    <w:rsid w:val="004133CD"/>
    <w:rsid w:val="0041391D"/>
    <w:rsid w:val="00414553"/>
    <w:rsid w:val="00415BB3"/>
    <w:rsid w:val="004160F0"/>
    <w:rsid w:val="004167F8"/>
    <w:rsid w:val="0042010B"/>
    <w:rsid w:val="004205E2"/>
    <w:rsid w:val="004213E3"/>
    <w:rsid w:val="004218E9"/>
    <w:rsid w:val="00425255"/>
    <w:rsid w:val="004272DF"/>
    <w:rsid w:val="00431585"/>
    <w:rsid w:val="00440ACC"/>
    <w:rsid w:val="00441774"/>
    <w:rsid w:val="00442760"/>
    <w:rsid w:val="00444CA2"/>
    <w:rsid w:val="00444E64"/>
    <w:rsid w:val="004451D3"/>
    <w:rsid w:val="004514C2"/>
    <w:rsid w:val="00452193"/>
    <w:rsid w:val="00452EEB"/>
    <w:rsid w:val="0045399B"/>
    <w:rsid w:val="00460755"/>
    <w:rsid w:val="004627E7"/>
    <w:rsid w:val="004654A7"/>
    <w:rsid w:val="0047112C"/>
    <w:rsid w:val="00472E44"/>
    <w:rsid w:val="0047442F"/>
    <w:rsid w:val="00475BA1"/>
    <w:rsid w:val="004766F6"/>
    <w:rsid w:val="004774BC"/>
    <w:rsid w:val="0048014E"/>
    <w:rsid w:val="004811EB"/>
    <w:rsid w:val="0048508D"/>
    <w:rsid w:val="004850EE"/>
    <w:rsid w:val="004865B8"/>
    <w:rsid w:val="00487903"/>
    <w:rsid w:val="00490074"/>
    <w:rsid w:val="00491577"/>
    <w:rsid w:val="00492873"/>
    <w:rsid w:val="00493DF1"/>
    <w:rsid w:val="00494834"/>
    <w:rsid w:val="004965E9"/>
    <w:rsid w:val="004A061C"/>
    <w:rsid w:val="004A0924"/>
    <w:rsid w:val="004A10D4"/>
    <w:rsid w:val="004A1BF4"/>
    <w:rsid w:val="004A205F"/>
    <w:rsid w:val="004A3A6A"/>
    <w:rsid w:val="004A4AA9"/>
    <w:rsid w:val="004A5486"/>
    <w:rsid w:val="004A5490"/>
    <w:rsid w:val="004A55EE"/>
    <w:rsid w:val="004A5E9C"/>
    <w:rsid w:val="004A7880"/>
    <w:rsid w:val="004A793F"/>
    <w:rsid w:val="004B0F90"/>
    <w:rsid w:val="004B392F"/>
    <w:rsid w:val="004B7074"/>
    <w:rsid w:val="004C2048"/>
    <w:rsid w:val="004C3B3D"/>
    <w:rsid w:val="004C41DE"/>
    <w:rsid w:val="004C703E"/>
    <w:rsid w:val="004D24F1"/>
    <w:rsid w:val="004E219A"/>
    <w:rsid w:val="004E24F4"/>
    <w:rsid w:val="004E392A"/>
    <w:rsid w:val="004F5A0D"/>
    <w:rsid w:val="004F5B0F"/>
    <w:rsid w:val="004F6135"/>
    <w:rsid w:val="00500481"/>
    <w:rsid w:val="00501E71"/>
    <w:rsid w:val="0050273C"/>
    <w:rsid w:val="00506BD6"/>
    <w:rsid w:val="00511D7F"/>
    <w:rsid w:val="00513160"/>
    <w:rsid w:val="00514335"/>
    <w:rsid w:val="00514C15"/>
    <w:rsid w:val="005177F3"/>
    <w:rsid w:val="0052120E"/>
    <w:rsid w:val="00521698"/>
    <w:rsid w:val="00525127"/>
    <w:rsid w:val="00530CCF"/>
    <w:rsid w:val="005322C5"/>
    <w:rsid w:val="00533407"/>
    <w:rsid w:val="005337D0"/>
    <w:rsid w:val="00534EBD"/>
    <w:rsid w:val="005370D2"/>
    <w:rsid w:val="00540665"/>
    <w:rsid w:val="00542315"/>
    <w:rsid w:val="00550693"/>
    <w:rsid w:val="00550BA9"/>
    <w:rsid w:val="0055132B"/>
    <w:rsid w:val="00552B64"/>
    <w:rsid w:val="00553110"/>
    <w:rsid w:val="00553D1E"/>
    <w:rsid w:val="005554E1"/>
    <w:rsid w:val="00556235"/>
    <w:rsid w:val="005570D2"/>
    <w:rsid w:val="00557173"/>
    <w:rsid w:val="00557898"/>
    <w:rsid w:val="00557E93"/>
    <w:rsid w:val="0056109D"/>
    <w:rsid w:val="0056118A"/>
    <w:rsid w:val="00564080"/>
    <w:rsid w:val="00565682"/>
    <w:rsid w:val="0056718A"/>
    <w:rsid w:val="00567F0B"/>
    <w:rsid w:val="00571345"/>
    <w:rsid w:val="00571EFB"/>
    <w:rsid w:val="00573D18"/>
    <w:rsid w:val="00574F71"/>
    <w:rsid w:val="00576D00"/>
    <w:rsid w:val="005852C7"/>
    <w:rsid w:val="00585645"/>
    <w:rsid w:val="00591720"/>
    <w:rsid w:val="00593EF4"/>
    <w:rsid w:val="0059446B"/>
    <w:rsid w:val="00595A1A"/>
    <w:rsid w:val="005A0C51"/>
    <w:rsid w:val="005A1E9B"/>
    <w:rsid w:val="005A1F6B"/>
    <w:rsid w:val="005A30B1"/>
    <w:rsid w:val="005B0773"/>
    <w:rsid w:val="005B0CAE"/>
    <w:rsid w:val="005B2827"/>
    <w:rsid w:val="005B2BBB"/>
    <w:rsid w:val="005B40CC"/>
    <w:rsid w:val="005B4C1A"/>
    <w:rsid w:val="005B54DE"/>
    <w:rsid w:val="005B72DD"/>
    <w:rsid w:val="005C001F"/>
    <w:rsid w:val="005C17D0"/>
    <w:rsid w:val="005C274D"/>
    <w:rsid w:val="005C3B0F"/>
    <w:rsid w:val="005C423F"/>
    <w:rsid w:val="005C620B"/>
    <w:rsid w:val="005D19CF"/>
    <w:rsid w:val="005D2673"/>
    <w:rsid w:val="005D28B0"/>
    <w:rsid w:val="005D3FE0"/>
    <w:rsid w:val="005D43AB"/>
    <w:rsid w:val="005D6A96"/>
    <w:rsid w:val="005D6C5D"/>
    <w:rsid w:val="005E0596"/>
    <w:rsid w:val="005E0EF1"/>
    <w:rsid w:val="005E113A"/>
    <w:rsid w:val="005E1706"/>
    <w:rsid w:val="005E1F01"/>
    <w:rsid w:val="005E2547"/>
    <w:rsid w:val="005E2768"/>
    <w:rsid w:val="005E3A21"/>
    <w:rsid w:val="005E619E"/>
    <w:rsid w:val="005E6D1D"/>
    <w:rsid w:val="005F0456"/>
    <w:rsid w:val="005F2295"/>
    <w:rsid w:val="005F3467"/>
    <w:rsid w:val="005F40B2"/>
    <w:rsid w:val="005F4B18"/>
    <w:rsid w:val="005F630C"/>
    <w:rsid w:val="0060000B"/>
    <w:rsid w:val="006010F6"/>
    <w:rsid w:val="006037B2"/>
    <w:rsid w:val="006047ED"/>
    <w:rsid w:val="006049CF"/>
    <w:rsid w:val="00606F67"/>
    <w:rsid w:val="00610591"/>
    <w:rsid w:val="00611FFA"/>
    <w:rsid w:val="00615D3A"/>
    <w:rsid w:val="006173E0"/>
    <w:rsid w:val="0061792B"/>
    <w:rsid w:val="006202E5"/>
    <w:rsid w:val="00621793"/>
    <w:rsid w:val="0062203B"/>
    <w:rsid w:val="00632D8E"/>
    <w:rsid w:val="0063484A"/>
    <w:rsid w:val="00635304"/>
    <w:rsid w:val="006364DB"/>
    <w:rsid w:val="00636C2F"/>
    <w:rsid w:val="00637B2F"/>
    <w:rsid w:val="00646D50"/>
    <w:rsid w:val="00647DD7"/>
    <w:rsid w:val="006512D1"/>
    <w:rsid w:val="00651555"/>
    <w:rsid w:val="00654968"/>
    <w:rsid w:val="00654B8F"/>
    <w:rsid w:val="00655F3F"/>
    <w:rsid w:val="00663C33"/>
    <w:rsid w:val="006641C9"/>
    <w:rsid w:val="00666BEB"/>
    <w:rsid w:val="006747AC"/>
    <w:rsid w:val="00674DCD"/>
    <w:rsid w:val="00675144"/>
    <w:rsid w:val="0068059C"/>
    <w:rsid w:val="00681F0F"/>
    <w:rsid w:val="00686404"/>
    <w:rsid w:val="00687189"/>
    <w:rsid w:val="00687460"/>
    <w:rsid w:val="00690AB5"/>
    <w:rsid w:val="00691E47"/>
    <w:rsid w:val="006940AE"/>
    <w:rsid w:val="0069429E"/>
    <w:rsid w:val="00696F22"/>
    <w:rsid w:val="006970BF"/>
    <w:rsid w:val="006A01F2"/>
    <w:rsid w:val="006A118C"/>
    <w:rsid w:val="006A3423"/>
    <w:rsid w:val="006A41CE"/>
    <w:rsid w:val="006A482E"/>
    <w:rsid w:val="006A52A0"/>
    <w:rsid w:val="006B2D0C"/>
    <w:rsid w:val="006B3889"/>
    <w:rsid w:val="006B4A9D"/>
    <w:rsid w:val="006B4E3F"/>
    <w:rsid w:val="006B5A48"/>
    <w:rsid w:val="006C68B6"/>
    <w:rsid w:val="006C6C57"/>
    <w:rsid w:val="006C70A6"/>
    <w:rsid w:val="006C7701"/>
    <w:rsid w:val="006C7A1F"/>
    <w:rsid w:val="006C7CD2"/>
    <w:rsid w:val="006D0AFF"/>
    <w:rsid w:val="006D16F7"/>
    <w:rsid w:val="006D5365"/>
    <w:rsid w:val="006E444B"/>
    <w:rsid w:val="006E61E7"/>
    <w:rsid w:val="006F060E"/>
    <w:rsid w:val="006F7118"/>
    <w:rsid w:val="006F75C8"/>
    <w:rsid w:val="006F790E"/>
    <w:rsid w:val="00703F34"/>
    <w:rsid w:val="00705E07"/>
    <w:rsid w:val="007122CB"/>
    <w:rsid w:val="007145B2"/>
    <w:rsid w:val="0071461C"/>
    <w:rsid w:val="0072135A"/>
    <w:rsid w:val="00721394"/>
    <w:rsid w:val="00724A7E"/>
    <w:rsid w:val="0072748E"/>
    <w:rsid w:val="0073122B"/>
    <w:rsid w:val="007324EF"/>
    <w:rsid w:val="00737501"/>
    <w:rsid w:val="00741AAF"/>
    <w:rsid w:val="00743828"/>
    <w:rsid w:val="007469C8"/>
    <w:rsid w:val="00746EDB"/>
    <w:rsid w:val="00752910"/>
    <w:rsid w:val="00756410"/>
    <w:rsid w:val="007567EE"/>
    <w:rsid w:val="0076068F"/>
    <w:rsid w:val="007657A3"/>
    <w:rsid w:val="00770D0C"/>
    <w:rsid w:val="00773458"/>
    <w:rsid w:val="007736C0"/>
    <w:rsid w:val="00774F8C"/>
    <w:rsid w:val="0078273F"/>
    <w:rsid w:val="00783B53"/>
    <w:rsid w:val="00784B50"/>
    <w:rsid w:val="00787A46"/>
    <w:rsid w:val="0079123B"/>
    <w:rsid w:val="007921FD"/>
    <w:rsid w:val="00795485"/>
    <w:rsid w:val="00795596"/>
    <w:rsid w:val="0079680B"/>
    <w:rsid w:val="007A35A9"/>
    <w:rsid w:val="007B1541"/>
    <w:rsid w:val="007B23B2"/>
    <w:rsid w:val="007B5113"/>
    <w:rsid w:val="007B692C"/>
    <w:rsid w:val="007B7DF2"/>
    <w:rsid w:val="007C00EF"/>
    <w:rsid w:val="007C043C"/>
    <w:rsid w:val="007C3610"/>
    <w:rsid w:val="007C4120"/>
    <w:rsid w:val="007C70CA"/>
    <w:rsid w:val="007D1BF5"/>
    <w:rsid w:val="007D2B0D"/>
    <w:rsid w:val="007D7C99"/>
    <w:rsid w:val="007E10D3"/>
    <w:rsid w:val="007E25B4"/>
    <w:rsid w:val="007E2E74"/>
    <w:rsid w:val="007E302D"/>
    <w:rsid w:val="007E3482"/>
    <w:rsid w:val="007E3720"/>
    <w:rsid w:val="007E5DAA"/>
    <w:rsid w:val="007E69E8"/>
    <w:rsid w:val="007E7053"/>
    <w:rsid w:val="007F0413"/>
    <w:rsid w:val="007F6458"/>
    <w:rsid w:val="007F69FF"/>
    <w:rsid w:val="007F7728"/>
    <w:rsid w:val="0080072D"/>
    <w:rsid w:val="0080422D"/>
    <w:rsid w:val="0080656C"/>
    <w:rsid w:val="008127AB"/>
    <w:rsid w:val="00812E67"/>
    <w:rsid w:val="00816B49"/>
    <w:rsid w:val="0081737A"/>
    <w:rsid w:val="008177CD"/>
    <w:rsid w:val="00822334"/>
    <w:rsid w:val="00822807"/>
    <w:rsid w:val="0082434F"/>
    <w:rsid w:val="0082561A"/>
    <w:rsid w:val="0082795C"/>
    <w:rsid w:val="008311CC"/>
    <w:rsid w:val="008312CE"/>
    <w:rsid w:val="008329B0"/>
    <w:rsid w:val="00834201"/>
    <w:rsid w:val="0083440C"/>
    <w:rsid w:val="00837634"/>
    <w:rsid w:val="00837679"/>
    <w:rsid w:val="00840758"/>
    <w:rsid w:val="00841B35"/>
    <w:rsid w:val="00842243"/>
    <w:rsid w:val="008448EB"/>
    <w:rsid w:val="00846FD3"/>
    <w:rsid w:val="008510FF"/>
    <w:rsid w:val="00852CAC"/>
    <w:rsid w:val="00854055"/>
    <w:rsid w:val="00856B15"/>
    <w:rsid w:val="00861D99"/>
    <w:rsid w:val="00863607"/>
    <w:rsid w:val="00867500"/>
    <w:rsid w:val="008716FB"/>
    <w:rsid w:val="00871731"/>
    <w:rsid w:val="00875581"/>
    <w:rsid w:val="0087624C"/>
    <w:rsid w:val="00880229"/>
    <w:rsid w:val="00880E7D"/>
    <w:rsid w:val="008859D6"/>
    <w:rsid w:val="00887618"/>
    <w:rsid w:val="00890EA5"/>
    <w:rsid w:val="008929D8"/>
    <w:rsid w:val="0089317F"/>
    <w:rsid w:val="00893C0B"/>
    <w:rsid w:val="00894A96"/>
    <w:rsid w:val="00897173"/>
    <w:rsid w:val="00897F24"/>
    <w:rsid w:val="008A2C28"/>
    <w:rsid w:val="008A372E"/>
    <w:rsid w:val="008A4854"/>
    <w:rsid w:val="008A7AFD"/>
    <w:rsid w:val="008B12FF"/>
    <w:rsid w:val="008B1E1F"/>
    <w:rsid w:val="008B2B34"/>
    <w:rsid w:val="008B3332"/>
    <w:rsid w:val="008B450F"/>
    <w:rsid w:val="008B6699"/>
    <w:rsid w:val="008B6860"/>
    <w:rsid w:val="008C3DBD"/>
    <w:rsid w:val="008C3DF5"/>
    <w:rsid w:val="008C5CAB"/>
    <w:rsid w:val="008C64B8"/>
    <w:rsid w:val="008D1DB3"/>
    <w:rsid w:val="008D635C"/>
    <w:rsid w:val="008E1EA5"/>
    <w:rsid w:val="008E4A6B"/>
    <w:rsid w:val="008E6665"/>
    <w:rsid w:val="008F06DB"/>
    <w:rsid w:val="008F3F5E"/>
    <w:rsid w:val="008F69C3"/>
    <w:rsid w:val="009006C4"/>
    <w:rsid w:val="009017EB"/>
    <w:rsid w:val="00904886"/>
    <w:rsid w:val="00905AAE"/>
    <w:rsid w:val="0091351D"/>
    <w:rsid w:val="00915A5A"/>
    <w:rsid w:val="0091615E"/>
    <w:rsid w:val="00917A83"/>
    <w:rsid w:val="00921FBA"/>
    <w:rsid w:val="00922605"/>
    <w:rsid w:val="00923A40"/>
    <w:rsid w:val="00925FE9"/>
    <w:rsid w:val="009271C6"/>
    <w:rsid w:val="00931109"/>
    <w:rsid w:val="009312AD"/>
    <w:rsid w:val="00931BCF"/>
    <w:rsid w:val="00932156"/>
    <w:rsid w:val="00934B87"/>
    <w:rsid w:val="00936180"/>
    <w:rsid w:val="0094292B"/>
    <w:rsid w:val="009430A2"/>
    <w:rsid w:val="00943C0C"/>
    <w:rsid w:val="00944B54"/>
    <w:rsid w:val="00947DBB"/>
    <w:rsid w:val="0095077D"/>
    <w:rsid w:val="00950EEF"/>
    <w:rsid w:val="00953393"/>
    <w:rsid w:val="00953C36"/>
    <w:rsid w:val="0095670E"/>
    <w:rsid w:val="00957F84"/>
    <w:rsid w:val="00961674"/>
    <w:rsid w:val="00962D18"/>
    <w:rsid w:val="00963896"/>
    <w:rsid w:val="00972FD4"/>
    <w:rsid w:val="009731B0"/>
    <w:rsid w:val="00981988"/>
    <w:rsid w:val="00981C39"/>
    <w:rsid w:val="009824D6"/>
    <w:rsid w:val="009916DF"/>
    <w:rsid w:val="00994D83"/>
    <w:rsid w:val="00995198"/>
    <w:rsid w:val="009958E9"/>
    <w:rsid w:val="00997E1A"/>
    <w:rsid w:val="00997F6A"/>
    <w:rsid w:val="009A4BCC"/>
    <w:rsid w:val="009B002C"/>
    <w:rsid w:val="009B2301"/>
    <w:rsid w:val="009B2309"/>
    <w:rsid w:val="009B258D"/>
    <w:rsid w:val="009B3AD4"/>
    <w:rsid w:val="009C1C91"/>
    <w:rsid w:val="009C4D83"/>
    <w:rsid w:val="009D1303"/>
    <w:rsid w:val="009D16ED"/>
    <w:rsid w:val="009D4314"/>
    <w:rsid w:val="009D6876"/>
    <w:rsid w:val="009E1EBF"/>
    <w:rsid w:val="009E20C3"/>
    <w:rsid w:val="009E2CA5"/>
    <w:rsid w:val="009E5452"/>
    <w:rsid w:val="009E58A9"/>
    <w:rsid w:val="009E6CA9"/>
    <w:rsid w:val="009E7B45"/>
    <w:rsid w:val="009F0514"/>
    <w:rsid w:val="009F1B75"/>
    <w:rsid w:val="009F277E"/>
    <w:rsid w:val="009F2934"/>
    <w:rsid w:val="009F5518"/>
    <w:rsid w:val="00A002C9"/>
    <w:rsid w:val="00A01A50"/>
    <w:rsid w:val="00A04717"/>
    <w:rsid w:val="00A04E65"/>
    <w:rsid w:val="00A06368"/>
    <w:rsid w:val="00A06D0F"/>
    <w:rsid w:val="00A14FEA"/>
    <w:rsid w:val="00A155A4"/>
    <w:rsid w:val="00A21B29"/>
    <w:rsid w:val="00A22445"/>
    <w:rsid w:val="00A22DB5"/>
    <w:rsid w:val="00A255FF"/>
    <w:rsid w:val="00A2569E"/>
    <w:rsid w:val="00A26830"/>
    <w:rsid w:val="00A26EA3"/>
    <w:rsid w:val="00A27770"/>
    <w:rsid w:val="00A3034E"/>
    <w:rsid w:val="00A35025"/>
    <w:rsid w:val="00A35DF6"/>
    <w:rsid w:val="00A36761"/>
    <w:rsid w:val="00A36C99"/>
    <w:rsid w:val="00A415BE"/>
    <w:rsid w:val="00A429FA"/>
    <w:rsid w:val="00A43840"/>
    <w:rsid w:val="00A44FF2"/>
    <w:rsid w:val="00A4538B"/>
    <w:rsid w:val="00A511E3"/>
    <w:rsid w:val="00A525F0"/>
    <w:rsid w:val="00A536FE"/>
    <w:rsid w:val="00A54F01"/>
    <w:rsid w:val="00A55155"/>
    <w:rsid w:val="00A60906"/>
    <w:rsid w:val="00A61AB6"/>
    <w:rsid w:val="00A626BB"/>
    <w:rsid w:val="00A64CA9"/>
    <w:rsid w:val="00A65136"/>
    <w:rsid w:val="00A745AA"/>
    <w:rsid w:val="00A75905"/>
    <w:rsid w:val="00A75B6A"/>
    <w:rsid w:val="00A76FEF"/>
    <w:rsid w:val="00A772FA"/>
    <w:rsid w:val="00A77F9B"/>
    <w:rsid w:val="00A801DC"/>
    <w:rsid w:val="00A831B9"/>
    <w:rsid w:val="00A8387B"/>
    <w:rsid w:val="00A843FB"/>
    <w:rsid w:val="00A85030"/>
    <w:rsid w:val="00A93BB7"/>
    <w:rsid w:val="00A960D6"/>
    <w:rsid w:val="00AA3504"/>
    <w:rsid w:val="00AA3F49"/>
    <w:rsid w:val="00AA47AB"/>
    <w:rsid w:val="00AA4B2C"/>
    <w:rsid w:val="00AA513B"/>
    <w:rsid w:val="00AA6531"/>
    <w:rsid w:val="00AB40A7"/>
    <w:rsid w:val="00AC1338"/>
    <w:rsid w:val="00AC1F73"/>
    <w:rsid w:val="00AC4B52"/>
    <w:rsid w:val="00AC5323"/>
    <w:rsid w:val="00AD1574"/>
    <w:rsid w:val="00AD4141"/>
    <w:rsid w:val="00AD5BFB"/>
    <w:rsid w:val="00AE0022"/>
    <w:rsid w:val="00AE081F"/>
    <w:rsid w:val="00AE14DC"/>
    <w:rsid w:val="00AF42CB"/>
    <w:rsid w:val="00AF5DB5"/>
    <w:rsid w:val="00AF76CD"/>
    <w:rsid w:val="00B024D8"/>
    <w:rsid w:val="00B04C97"/>
    <w:rsid w:val="00B20B6E"/>
    <w:rsid w:val="00B215CD"/>
    <w:rsid w:val="00B22859"/>
    <w:rsid w:val="00B230D3"/>
    <w:rsid w:val="00B24727"/>
    <w:rsid w:val="00B248D6"/>
    <w:rsid w:val="00B253C8"/>
    <w:rsid w:val="00B32EEB"/>
    <w:rsid w:val="00B361C5"/>
    <w:rsid w:val="00B3693C"/>
    <w:rsid w:val="00B36EFB"/>
    <w:rsid w:val="00B43A41"/>
    <w:rsid w:val="00B455CC"/>
    <w:rsid w:val="00B47814"/>
    <w:rsid w:val="00B53AD4"/>
    <w:rsid w:val="00B6130E"/>
    <w:rsid w:val="00B61ADD"/>
    <w:rsid w:val="00B63825"/>
    <w:rsid w:val="00B63DF0"/>
    <w:rsid w:val="00B65BB6"/>
    <w:rsid w:val="00B65C97"/>
    <w:rsid w:val="00B66F28"/>
    <w:rsid w:val="00B71646"/>
    <w:rsid w:val="00B7189F"/>
    <w:rsid w:val="00B7225F"/>
    <w:rsid w:val="00B73098"/>
    <w:rsid w:val="00B73721"/>
    <w:rsid w:val="00B77243"/>
    <w:rsid w:val="00B815DF"/>
    <w:rsid w:val="00B84C14"/>
    <w:rsid w:val="00B86DBD"/>
    <w:rsid w:val="00B875CF"/>
    <w:rsid w:val="00B910BB"/>
    <w:rsid w:val="00B91D47"/>
    <w:rsid w:val="00B93698"/>
    <w:rsid w:val="00B94870"/>
    <w:rsid w:val="00BA0D08"/>
    <w:rsid w:val="00BA2A61"/>
    <w:rsid w:val="00BA7015"/>
    <w:rsid w:val="00BB0543"/>
    <w:rsid w:val="00BB1DB0"/>
    <w:rsid w:val="00BB1F9B"/>
    <w:rsid w:val="00BB22EA"/>
    <w:rsid w:val="00BC01DD"/>
    <w:rsid w:val="00BC10F4"/>
    <w:rsid w:val="00BC127F"/>
    <w:rsid w:val="00BC2D20"/>
    <w:rsid w:val="00BC2ED9"/>
    <w:rsid w:val="00BC798F"/>
    <w:rsid w:val="00BD0305"/>
    <w:rsid w:val="00BD4D2B"/>
    <w:rsid w:val="00BE1BE5"/>
    <w:rsid w:val="00BE22E4"/>
    <w:rsid w:val="00BE466F"/>
    <w:rsid w:val="00BF02CB"/>
    <w:rsid w:val="00BF17DA"/>
    <w:rsid w:val="00BF1AEE"/>
    <w:rsid w:val="00BF2874"/>
    <w:rsid w:val="00BF601E"/>
    <w:rsid w:val="00C00C58"/>
    <w:rsid w:val="00C027EC"/>
    <w:rsid w:val="00C03592"/>
    <w:rsid w:val="00C03878"/>
    <w:rsid w:val="00C06928"/>
    <w:rsid w:val="00C07ED1"/>
    <w:rsid w:val="00C128A5"/>
    <w:rsid w:val="00C14E18"/>
    <w:rsid w:val="00C1596A"/>
    <w:rsid w:val="00C22F88"/>
    <w:rsid w:val="00C24C3C"/>
    <w:rsid w:val="00C2568E"/>
    <w:rsid w:val="00C27868"/>
    <w:rsid w:val="00C34FF2"/>
    <w:rsid w:val="00C3559F"/>
    <w:rsid w:val="00C407FF"/>
    <w:rsid w:val="00C41685"/>
    <w:rsid w:val="00C43209"/>
    <w:rsid w:val="00C43B71"/>
    <w:rsid w:val="00C44421"/>
    <w:rsid w:val="00C448E5"/>
    <w:rsid w:val="00C44F0E"/>
    <w:rsid w:val="00C455D8"/>
    <w:rsid w:val="00C469AB"/>
    <w:rsid w:val="00C5095F"/>
    <w:rsid w:val="00C51468"/>
    <w:rsid w:val="00C56A60"/>
    <w:rsid w:val="00C575F8"/>
    <w:rsid w:val="00C6060A"/>
    <w:rsid w:val="00C60A5C"/>
    <w:rsid w:val="00C60D74"/>
    <w:rsid w:val="00C619AE"/>
    <w:rsid w:val="00C61DF0"/>
    <w:rsid w:val="00C63596"/>
    <w:rsid w:val="00C63AA9"/>
    <w:rsid w:val="00C645D4"/>
    <w:rsid w:val="00C67A30"/>
    <w:rsid w:val="00C7240B"/>
    <w:rsid w:val="00C75ABA"/>
    <w:rsid w:val="00C80E95"/>
    <w:rsid w:val="00C81013"/>
    <w:rsid w:val="00C81EDB"/>
    <w:rsid w:val="00C83D36"/>
    <w:rsid w:val="00C85601"/>
    <w:rsid w:val="00C8685B"/>
    <w:rsid w:val="00C875C2"/>
    <w:rsid w:val="00C958C2"/>
    <w:rsid w:val="00C95C31"/>
    <w:rsid w:val="00CA3E0E"/>
    <w:rsid w:val="00CA610D"/>
    <w:rsid w:val="00CA7574"/>
    <w:rsid w:val="00CB0A1D"/>
    <w:rsid w:val="00CB1903"/>
    <w:rsid w:val="00CB1F12"/>
    <w:rsid w:val="00CB297A"/>
    <w:rsid w:val="00CB3EBD"/>
    <w:rsid w:val="00CB61D0"/>
    <w:rsid w:val="00CB7595"/>
    <w:rsid w:val="00CB7944"/>
    <w:rsid w:val="00CB7C69"/>
    <w:rsid w:val="00CC1047"/>
    <w:rsid w:val="00CC22BB"/>
    <w:rsid w:val="00CC268D"/>
    <w:rsid w:val="00CC6F2E"/>
    <w:rsid w:val="00CD0370"/>
    <w:rsid w:val="00CD08D0"/>
    <w:rsid w:val="00CD61EC"/>
    <w:rsid w:val="00CD7BA5"/>
    <w:rsid w:val="00CE20AE"/>
    <w:rsid w:val="00CE38EC"/>
    <w:rsid w:val="00CE5349"/>
    <w:rsid w:val="00CF129A"/>
    <w:rsid w:val="00CF2445"/>
    <w:rsid w:val="00CF2540"/>
    <w:rsid w:val="00CF522E"/>
    <w:rsid w:val="00CF676B"/>
    <w:rsid w:val="00CF6BE0"/>
    <w:rsid w:val="00CF7AC2"/>
    <w:rsid w:val="00CF7AC4"/>
    <w:rsid w:val="00CF7F7D"/>
    <w:rsid w:val="00D03EF6"/>
    <w:rsid w:val="00D0402B"/>
    <w:rsid w:val="00D1136E"/>
    <w:rsid w:val="00D12A26"/>
    <w:rsid w:val="00D14242"/>
    <w:rsid w:val="00D14F44"/>
    <w:rsid w:val="00D1529B"/>
    <w:rsid w:val="00D16723"/>
    <w:rsid w:val="00D174A6"/>
    <w:rsid w:val="00D20950"/>
    <w:rsid w:val="00D20DFA"/>
    <w:rsid w:val="00D21DBB"/>
    <w:rsid w:val="00D33CE1"/>
    <w:rsid w:val="00D34EF9"/>
    <w:rsid w:val="00D37AF1"/>
    <w:rsid w:val="00D465D2"/>
    <w:rsid w:val="00D504F3"/>
    <w:rsid w:val="00D515DC"/>
    <w:rsid w:val="00D53C70"/>
    <w:rsid w:val="00D548BC"/>
    <w:rsid w:val="00D550B3"/>
    <w:rsid w:val="00D62530"/>
    <w:rsid w:val="00D626E9"/>
    <w:rsid w:val="00D62770"/>
    <w:rsid w:val="00D66895"/>
    <w:rsid w:val="00D670F5"/>
    <w:rsid w:val="00D71D96"/>
    <w:rsid w:val="00D722A2"/>
    <w:rsid w:val="00D743B9"/>
    <w:rsid w:val="00D75A75"/>
    <w:rsid w:val="00D8109F"/>
    <w:rsid w:val="00D82AF9"/>
    <w:rsid w:val="00D82D49"/>
    <w:rsid w:val="00D82ECF"/>
    <w:rsid w:val="00D84349"/>
    <w:rsid w:val="00D848D7"/>
    <w:rsid w:val="00D8572B"/>
    <w:rsid w:val="00D91093"/>
    <w:rsid w:val="00D9508F"/>
    <w:rsid w:val="00DA185B"/>
    <w:rsid w:val="00DA251B"/>
    <w:rsid w:val="00DA30E3"/>
    <w:rsid w:val="00DA4D71"/>
    <w:rsid w:val="00DA5AED"/>
    <w:rsid w:val="00DB1DEB"/>
    <w:rsid w:val="00DB276F"/>
    <w:rsid w:val="00DB3CDF"/>
    <w:rsid w:val="00DB6E15"/>
    <w:rsid w:val="00DB77C4"/>
    <w:rsid w:val="00DC4E0E"/>
    <w:rsid w:val="00DC5ECD"/>
    <w:rsid w:val="00DC5F6F"/>
    <w:rsid w:val="00DD1202"/>
    <w:rsid w:val="00DD3F5E"/>
    <w:rsid w:val="00DD424C"/>
    <w:rsid w:val="00DD43FF"/>
    <w:rsid w:val="00DD517D"/>
    <w:rsid w:val="00DD54FD"/>
    <w:rsid w:val="00DE6901"/>
    <w:rsid w:val="00DE6F76"/>
    <w:rsid w:val="00DF01C2"/>
    <w:rsid w:val="00DF058D"/>
    <w:rsid w:val="00DF1566"/>
    <w:rsid w:val="00DF20AD"/>
    <w:rsid w:val="00DF21E2"/>
    <w:rsid w:val="00DF3FFB"/>
    <w:rsid w:val="00DF69BC"/>
    <w:rsid w:val="00DF76AC"/>
    <w:rsid w:val="00E019C0"/>
    <w:rsid w:val="00E038F6"/>
    <w:rsid w:val="00E04493"/>
    <w:rsid w:val="00E05956"/>
    <w:rsid w:val="00E06310"/>
    <w:rsid w:val="00E06E93"/>
    <w:rsid w:val="00E079B4"/>
    <w:rsid w:val="00E07FA8"/>
    <w:rsid w:val="00E12D79"/>
    <w:rsid w:val="00E1441C"/>
    <w:rsid w:val="00E16253"/>
    <w:rsid w:val="00E20C23"/>
    <w:rsid w:val="00E20E51"/>
    <w:rsid w:val="00E22D7B"/>
    <w:rsid w:val="00E23DD3"/>
    <w:rsid w:val="00E24A6C"/>
    <w:rsid w:val="00E25930"/>
    <w:rsid w:val="00E273DF"/>
    <w:rsid w:val="00E30588"/>
    <w:rsid w:val="00E33EF8"/>
    <w:rsid w:val="00E35A3B"/>
    <w:rsid w:val="00E377DD"/>
    <w:rsid w:val="00E4020F"/>
    <w:rsid w:val="00E40794"/>
    <w:rsid w:val="00E41345"/>
    <w:rsid w:val="00E41821"/>
    <w:rsid w:val="00E4189B"/>
    <w:rsid w:val="00E54467"/>
    <w:rsid w:val="00E55941"/>
    <w:rsid w:val="00E560EF"/>
    <w:rsid w:val="00E57B4B"/>
    <w:rsid w:val="00E61302"/>
    <w:rsid w:val="00E62EC6"/>
    <w:rsid w:val="00E63583"/>
    <w:rsid w:val="00E64BB0"/>
    <w:rsid w:val="00E6551E"/>
    <w:rsid w:val="00E65C9C"/>
    <w:rsid w:val="00E67199"/>
    <w:rsid w:val="00E74640"/>
    <w:rsid w:val="00E764AE"/>
    <w:rsid w:val="00E84241"/>
    <w:rsid w:val="00E845DB"/>
    <w:rsid w:val="00E87124"/>
    <w:rsid w:val="00E87F57"/>
    <w:rsid w:val="00E94398"/>
    <w:rsid w:val="00E96A4B"/>
    <w:rsid w:val="00EA049A"/>
    <w:rsid w:val="00EA175A"/>
    <w:rsid w:val="00EA63BB"/>
    <w:rsid w:val="00EA6C0B"/>
    <w:rsid w:val="00EA7D6E"/>
    <w:rsid w:val="00EA7E54"/>
    <w:rsid w:val="00EB343B"/>
    <w:rsid w:val="00EB4DEE"/>
    <w:rsid w:val="00EB63EB"/>
    <w:rsid w:val="00EC144A"/>
    <w:rsid w:val="00EC4225"/>
    <w:rsid w:val="00EC4BD3"/>
    <w:rsid w:val="00EC77E0"/>
    <w:rsid w:val="00ED0700"/>
    <w:rsid w:val="00ED10C6"/>
    <w:rsid w:val="00ED71BF"/>
    <w:rsid w:val="00ED7A38"/>
    <w:rsid w:val="00ED7D0C"/>
    <w:rsid w:val="00EE02BA"/>
    <w:rsid w:val="00EE056E"/>
    <w:rsid w:val="00EE0E04"/>
    <w:rsid w:val="00EE3479"/>
    <w:rsid w:val="00EE6F10"/>
    <w:rsid w:val="00EF1BCD"/>
    <w:rsid w:val="00EF4143"/>
    <w:rsid w:val="00EF4684"/>
    <w:rsid w:val="00EF5830"/>
    <w:rsid w:val="00EF6C38"/>
    <w:rsid w:val="00EF7D68"/>
    <w:rsid w:val="00F10B3D"/>
    <w:rsid w:val="00F118B0"/>
    <w:rsid w:val="00F177B4"/>
    <w:rsid w:val="00F279F1"/>
    <w:rsid w:val="00F27CF1"/>
    <w:rsid w:val="00F32021"/>
    <w:rsid w:val="00F341AD"/>
    <w:rsid w:val="00F352F1"/>
    <w:rsid w:val="00F35FE1"/>
    <w:rsid w:val="00F3773B"/>
    <w:rsid w:val="00F40522"/>
    <w:rsid w:val="00F42DD7"/>
    <w:rsid w:val="00F432EE"/>
    <w:rsid w:val="00F444FD"/>
    <w:rsid w:val="00F4694E"/>
    <w:rsid w:val="00F47749"/>
    <w:rsid w:val="00F50785"/>
    <w:rsid w:val="00F513B5"/>
    <w:rsid w:val="00F52A3B"/>
    <w:rsid w:val="00F5373C"/>
    <w:rsid w:val="00F53B30"/>
    <w:rsid w:val="00F56295"/>
    <w:rsid w:val="00F56F78"/>
    <w:rsid w:val="00F6422C"/>
    <w:rsid w:val="00F653EB"/>
    <w:rsid w:val="00F65865"/>
    <w:rsid w:val="00F70AB7"/>
    <w:rsid w:val="00F745DF"/>
    <w:rsid w:val="00F747E8"/>
    <w:rsid w:val="00F74C28"/>
    <w:rsid w:val="00F7770D"/>
    <w:rsid w:val="00F8107F"/>
    <w:rsid w:val="00F825E1"/>
    <w:rsid w:val="00F82E28"/>
    <w:rsid w:val="00F82E3D"/>
    <w:rsid w:val="00F83BB9"/>
    <w:rsid w:val="00F85995"/>
    <w:rsid w:val="00F9112D"/>
    <w:rsid w:val="00F94445"/>
    <w:rsid w:val="00F97915"/>
    <w:rsid w:val="00FA126E"/>
    <w:rsid w:val="00FA6B90"/>
    <w:rsid w:val="00FA777B"/>
    <w:rsid w:val="00FB00A5"/>
    <w:rsid w:val="00FB1BCD"/>
    <w:rsid w:val="00FB1C7C"/>
    <w:rsid w:val="00FB37CC"/>
    <w:rsid w:val="00FB3C63"/>
    <w:rsid w:val="00FB3DDB"/>
    <w:rsid w:val="00FB5252"/>
    <w:rsid w:val="00FB5D26"/>
    <w:rsid w:val="00FB648A"/>
    <w:rsid w:val="00FB7238"/>
    <w:rsid w:val="00FC0A74"/>
    <w:rsid w:val="00FC1282"/>
    <w:rsid w:val="00FC1AFA"/>
    <w:rsid w:val="00FC3551"/>
    <w:rsid w:val="00FC3A4B"/>
    <w:rsid w:val="00FC3C8D"/>
    <w:rsid w:val="00FD07F5"/>
    <w:rsid w:val="00FD2F4F"/>
    <w:rsid w:val="00FD3C55"/>
    <w:rsid w:val="00FD4DFC"/>
    <w:rsid w:val="00FD5019"/>
    <w:rsid w:val="00FD6F65"/>
    <w:rsid w:val="00FE02CF"/>
    <w:rsid w:val="00FE29EC"/>
    <w:rsid w:val="00FE4C93"/>
    <w:rsid w:val="00FE509C"/>
    <w:rsid w:val="00FE54A6"/>
    <w:rsid w:val="00FE690C"/>
    <w:rsid w:val="00FF2D8B"/>
    <w:rsid w:val="00FF36EC"/>
    <w:rsid w:val="00FF43AD"/>
    <w:rsid w:val="00FF5A3F"/>
    <w:rsid w:val="00FF5D57"/>
    <w:rsid w:val="00FF5F7D"/>
    <w:rsid w:val="00FF631D"/>
    <w:rsid w:val="0150A8DF"/>
    <w:rsid w:val="01B0ABB5"/>
    <w:rsid w:val="02AACABC"/>
    <w:rsid w:val="03B642E5"/>
    <w:rsid w:val="03D47AA1"/>
    <w:rsid w:val="03F1F149"/>
    <w:rsid w:val="05539986"/>
    <w:rsid w:val="065D614A"/>
    <w:rsid w:val="0828CC89"/>
    <w:rsid w:val="0948590B"/>
    <w:rsid w:val="0AA2E4D9"/>
    <w:rsid w:val="0EDECFA7"/>
    <w:rsid w:val="0EE6303D"/>
    <w:rsid w:val="105CFF67"/>
    <w:rsid w:val="119262F0"/>
    <w:rsid w:val="11EC4BE8"/>
    <w:rsid w:val="12BBCA1F"/>
    <w:rsid w:val="16B83A96"/>
    <w:rsid w:val="16EDA94F"/>
    <w:rsid w:val="1805A29D"/>
    <w:rsid w:val="19BBDE83"/>
    <w:rsid w:val="19CA5824"/>
    <w:rsid w:val="1C34FF37"/>
    <w:rsid w:val="1C70F202"/>
    <w:rsid w:val="1DC6AD73"/>
    <w:rsid w:val="1DC6E38A"/>
    <w:rsid w:val="1DFED3F9"/>
    <w:rsid w:val="1E97278A"/>
    <w:rsid w:val="1EF8E45A"/>
    <w:rsid w:val="1F966055"/>
    <w:rsid w:val="21488EBB"/>
    <w:rsid w:val="22371EF8"/>
    <w:rsid w:val="228A16BF"/>
    <w:rsid w:val="24AE558E"/>
    <w:rsid w:val="267859D6"/>
    <w:rsid w:val="286D0E6E"/>
    <w:rsid w:val="29174064"/>
    <w:rsid w:val="29F4ADBD"/>
    <w:rsid w:val="29F7F4E5"/>
    <w:rsid w:val="2A2A2AC4"/>
    <w:rsid w:val="2BA0B95A"/>
    <w:rsid w:val="2BD80B40"/>
    <w:rsid w:val="2BE86DD0"/>
    <w:rsid w:val="2CB7C1E3"/>
    <w:rsid w:val="2E32142D"/>
    <w:rsid w:val="2E51E494"/>
    <w:rsid w:val="2EA381D3"/>
    <w:rsid w:val="2F8BDE53"/>
    <w:rsid w:val="2FA4B650"/>
    <w:rsid w:val="2FD64E21"/>
    <w:rsid w:val="307C11DC"/>
    <w:rsid w:val="30BC5C4B"/>
    <w:rsid w:val="316FFF12"/>
    <w:rsid w:val="31B2E4A4"/>
    <w:rsid w:val="31FF623E"/>
    <w:rsid w:val="322B12AD"/>
    <w:rsid w:val="3506A280"/>
    <w:rsid w:val="35A33553"/>
    <w:rsid w:val="360EC6B7"/>
    <w:rsid w:val="367F83E1"/>
    <w:rsid w:val="3681C5FB"/>
    <w:rsid w:val="368B7DC2"/>
    <w:rsid w:val="368C387B"/>
    <w:rsid w:val="36F57C8E"/>
    <w:rsid w:val="375BF0D0"/>
    <w:rsid w:val="38538654"/>
    <w:rsid w:val="398BE424"/>
    <w:rsid w:val="3DF88A94"/>
    <w:rsid w:val="3E7F3023"/>
    <w:rsid w:val="3F40D2D3"/>
    <w:rsid w:val="407FD63B"/>
    <w:rsid w:val="417C77A6"/>
    <w:rsid w:val="4189F5B0"/>
    <w:rsid w:val="41A2FE98"/>
    <w:rsid w:val="41C55B5D"/>
    <w:rsid w:val="41CECF65"/>
    <w:rsid w:val="41E10B61"/>
    <w:rsid w:val="44083A72"/>
    <w:rsid w:val="4581F493"/>
    <w:rsid w:val="45D0F5FB"/>
    <w:rsid w:val="464B329C"/>
    <w:rsid w:val="465F8395"/>
    <w:rsid w:val="46BE9504"/>
    <w:rsid w:val="47099C74"/>
    <w:rsid w:val="47FF7C92"/>
    <w:rsid w:val="4A33E032"/>
    <w:rsid w:val="4A342622"/>
    <w:rsid w:val="4AE8D70C"/>
    <w:rsid w:val="4AEB30DB"/>
    <w:rsid w:val="4AEC6773"/>
    <w:rsid w:val="4CD883E4"/>
    <w:rsid w:val="4E6A66CD"/>
    <w:rsid w:val="4EF6C84E"/>
    <w:rsid w:val="4F20E527"/>
    <w:rsid w:val="4F3BA965"/>
    <w:rsid w:val="51071FA1"/>
    <w:rsid w:val="5165DB29"/>
    <w:rsid w:val="52C8DF00"/>
    <w:rsid w:val="52FE7C55"/>
    <w:rsid w:val="533981C9"/>
    <w:rsid w:val="53A1708D"/>
    <w:rsid w:val="545E2104"/>
    <w:rsid w:val="54E55BF4"/>
    <w:rsid w:val="55AB51F3"/>
    <w:rsid w:val="57989702"/>
    <w:rsid w:val="58B3B815"/>
    <w:rsid w:val="58F52BE5"/>
    <w:rsid w:val="5AF46E0E"/>
    <w:rsid w:val="5B46DAF8"/>
    <w:rsid w:val="5BF70B28"/>
    <w:rsid w:val="5F05FED4"/>
    <w:rsid w:val="5FB44E0F"/>
    <w:rsid w:val="6058DD88"/>
    <w:rsid w:val="60D13DB9"/>
    <w:rsid w:val="620F9D23"/>
    <w:rsid w:val="623BEF96"/>
    <w:rsid w:val="62ED266E"/>
    <w:rsid w:val="64BD2DEC"/>
    <w:rsid w:val="659338F0"/>
    <w:rsid w:val="66B153C7"/>
    <w:rsid w:val="66F612A8"/>
    <w:rsid w:val="66F6ED45"/>
    <w:rsid w:val="6872124C"/>
    <w:rsid w:val="6882801F"/>
    <w:rsid w:val="68B2AB36"/>
    <w:rsid w:val="6939A901"/>
    <w:rsid w:val="69F3B173"/>
    <w:rsid w:val="6B08EE35"/>
    <w:rsid w:val="6B706006"/>
    <w:rsid w:val="6B809322"/>
    <w:rsid w:val="6BE894FA"/>
    <w:rsid w:val="6C3C7155"/>
    <w:rsid w:val="6C879AAC"/>
    <w:rsid w:val="6ED10FD4"/>
    <w:rsid w:val="6EE22396"/>
    <w:rsid w:val="6F4CC808"/>
    <w:rsid w:val="6F956AD4"/>
    <w:rsid w:val="720C506C"/>
    <w:rsid w:val="729B727A"/>
    <w:rsid w:val="72DEEDF0"/>
    <w:rsid w:val="731C0F2F"/>
    <w:rsid w:val="74912851"/>
    <w:rsid w:val="74D743F8"/>
    <w:rsid w:val="76D54241"/>
    <w:rsid w:val="76FAF42C"/>
    <w:rsid w:val="7897860C"/>
    <w:rsid w:val="78D4445D"/>
    <w:rsid w:val="791D1C14"/>
    <w:rsid w:val="795A8DAC"/>
    <w:rsid w:val="7A35DED6"/>
    <w:rsid w:val="7AA460F7"/>
    <w:rsid w:val="7B5B63C5"/>
    <w:rsid w:val="7C1E750A"/>
    <w:rsid w:val="7C9C3DDD"/>
    <w:rsid w:val="7D673F55"/>
    <w:rsid w:val="7DC477DF"/>
    <w:rsid w:val="7DD90C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12395"/>
  <w15:docId w15:val="{338771CA-D405-4B9E-8B38-1A3933E3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C28"/>
    <w:pPr>
      <w:spacing w:before="120" w:after="0" w:line="288" w:lineRule="auto"/>
    </w:pPr>
    <w:rPr>
      <w:rFonts w:ascii="Arial" w:eastAsia="Times New Roman" w:hAnsi="Arial" w:cs="Times New Roman"/>
      <w:sz w:val="24"/>
      <w:lang w:eastAsia="en-GB"/>
    </w:rPr>
  </w:style>
  <w:style w:type="paragraph" w:styleId="Heading1">
    <w:name w:val="heading 1"/>
    <w:next w:val="Normal"/>
    <w:link w:val="Heading1Char"/>
    <w:autoRedefine/>
    <w:qFormat/>
    <w:rsid w:val="000E1558"/>
    <w:pPr>
      <w:keepNext/>
      <w:keepLines/>
      <w:spacing w:before="480" w:after="60" w:line="240" w:lineRule="auto"/>
      <w:outlineLvl w:val="0"/>
    </w:pPr>
    <w:rPr>
      <w:rFonts w:ascii="Arial Bold" w:eastAsia="Times New Roman" w:hAnsi="Arial Bold" w:cs="Arial"/>
      <w:b/>
      <w:bCs/>
      <w:color w:val="D2002E" w:themeColor="accent1"/>
      <w:kern w:val="32"/>
      <w:sz w:val="44"/>
      <w:szCs w:val="32"/>
    </w:rPr>
  </w:style>
  <w:style w:type="paragraph" w:styleId="Heading2">
    <w:name w:val="heading 2"/>
    <w:next w:val="Normal"/>
    <w:link w:val="Heading2Char"/>
    <w:autoRedefine/>
    <w:qFormat/>
    <w:rsid w:val="00573D18"/>
    <w:pPr>
      <w:spacing w:before="360" w:after="60" w:line="240" w:lineRule="auto"/>
      <w:outlineLvl w:val="1"/>
    </w:pPr>
    <w:rPr>
      <w:rFonts w:ascii="Arial" w:eastAsia="Times New Roman" w:hAnsi="Arial" w:cs="Arial"/>
      <w:b/>
      <w:iCs/>
      <w:kern w:val="32"/>
      <w:sz w:val="36"/>
      <w:szCs w:val="28"/>
    </w:rPr>
  </w:style>
  <w:style w:type="paragraph" w:styleId="Heading3">
    <w:name w:val="heading 3"/>
    <w:next w:val="Normal"/>
    <w:link w:val="Heading3Char"/>
    <w:autoRedefine/>
    <w:qFormat/>
    <w:rsid w:val="0038453C"/>
    <w:pPr>
      <w:keepNext/>
      <w:spacing w:before="240" w:after="0" w:line="240" w:lineRule="auto"/>
      <w:outlineLvl w:val="2"/>
    </w:pPr>
    <w:rPr>
      <w:rFonts w:ascii="Arial" w:eastAsia="Times New Roman" w:hAnsi="Arial" w:cs="Arial"/>
      <w:b/>
      <w:bCs/>
      <w:sz w:val="28"/>
      <w:szCs w:val="26"/>
    </w:rPr>
  </w:style>
  <w:style w:type="paragraph" w:styleId="Heading4">
    <w:name w:val="heading 4"/>
    <w:basedOn w:val="Normal"/>
    <w:next w:val="Normal"/>
    <w:link w:val="Heading4Char"/>
    <w:autoRedefine/>
    <w:uiPriority w:val="9"/>
    <w:unhideWhenUsed/>
    <w:qFormat/>
    <w:rsid w:val="005D6C5D"/>
    <w:pPr>
      <w:keepNext/>
      <w:keepLines/>
      <w:spacing w:before="40"/>
      <w:outlineLvl w:val="3"/>
    </w:pPr>
    <w:rPr>
      <w:rFonts w:eastAsiaTheme="majorEastAsia" w:cstheme="majorBidi"/>
      <w:b/>
      <w:i/>
      <w:iCs/>
      <w:color w:val="9D0021" w:themeColor="accent1" w:themeShade="BF"/>
    </w:rPr>
  </w:style>
  <w:style w:type="paragraph" w:styleId="Heading5">
    <w:name w:val="heading 5"/>
    <w:basedOn w:val="Normal"/>
    <w:next w:val="Normal"/>
    <w:link w:val="Heading5Char"/>
    <w:autoRedefine/>
    <w:uiPriority w:val="9"/>
    <w:unhideWhenUsed/>
    <w:qFormat/>
    <w:rsid w:val="005D6C5D"/>
    <w:pPr>
      <w:keepNext/>
      <w:keepLines/>
      <w:spacing w:before="40"/>
      <w:outlineLvl w:val="4"/>
    </w:pPr>
    <w:rPr>
      <w:rFonts w:eastAsiaTheme="majorEastAsia" w:cstheme="majorBidi"/>
      <w:color w:val="9D0021" w:themeColor="accent1" w:themeShade="BF"/>
    </w:rPr>
  </w:style>
  <w:style w:type="paragraph" w:styleId="Heading6">
    <w:name w:val="heading 6"/>
    <w:basedOn w:val="Normal"/>
    <w:next w:val="Normal"/>
    <w:link w:val="Heading6Char"/>
    <w:autoRedefine/>
    <w:uiPriority w:val="9"/>
    <w:unhideWhenUsed/>
    <w:qFormat/>
    <w:rsid w:val="005D6C5D"/>
    <w:pPr>
      <w:keepNext/>
      <w:keepLines/>
      <w:spacing w:before="40"/>
      <w:outlineLvl w:val="5"/>
    </w:pPr>
    <w:rPr>
      <w:rFonts w:eastAsiaTheme="majorEastAsia" w:cstheme="majorBidi"/>
      <w:b/>
      <w:color w:val="680016" w:themeColor="accent1" w:themeShade="7F"/>
    </w:rPr>
  </w:style>
  <w:style w:type="paragraph" w:styleId="Heading7">
    <w:name w:val="heading 7"/>
    <w:basedOn w:val="Normal"/>
    <w:next w:val="Normal"/>
    <w:link w:val="Heading7Char"/>
    <w:autoRedefine/>
    <w:uiPriority w:val="9"/>
    <w:unhideWhenUsed/>
    <w:qFormat/>
    <w:rsid w:val="005D6C5D"/>
    <w:pPr>
      <w:keepNext/>
      <w:keepLines/>
      <w:spacing w:before="40"/>
      <w:outlineLvl w:val="6"/>
    </w:pPr>
    <w:rPr>
      <w:rFonts w:eastAsiaTheme="majorEastAsia" w:cstheme="majorBidi"/>
      <w:b/>
      <w:i/>
      <w:iCs/>
      <w:color w:val="680016" w:themeColor="accent1" w:themeShade="7F"/>
    </w:rPr>
  </w:style>
  <w:style w:type="paragraph" w:styleId="Heading8">
    <w:name w:val="heading 8"/>
    <w:basedOn w:val="Normal"/>
    <w:next w:val="Normal"/>
    <w:link w:val="Heading8Char"/>
    <w:autoRedefine/>
    <w:uiPriority w:val="9"/>
    <w:unhideWhenUsed/>
    <w:qFormat/>
    <w:rsid w:val="005D6C5D"/>
    <w:pPr>
      <w:keepNext/>
      <w:keepLines/>
      <w:spacing w:before="40"/>
      <w:outlineLvl w:val="7"/>
    </w:pPr>
    <w:rPr>
      <w:rFonts w:eastAsiaTheme="majorEastAsia" w:cstheme="majorBidi"/>
      <w:color w:val="686C75" w:themeColor="text1" w:themeTint="D8"/>
      <w:szCs w:val="21"/>
    </w:rPr>
  </w:style>
  <w:style w:type="paragraph" w:styleId="Heading9">
    <w:name w:val="heading 9"/>
    <w:basedOn w:val="Normal"/>
    <w:next w:val="Normal"/>
    <w:link w:val="Heading9Char"/>
    <w:autoRedefine/>
    <w:uiPriority w:val="9"/>
    <w:unhideWhenUsed/>
    <w:qFormat/>
    <w:rsid w:val="005D6C5D"/>
    <w:pPr>
      <w:keepNext/>
      <w:keepLines/>
      <w:spacing w:before="40"/>
      <w:outlineLvl w:val="8"/>
    </w:pPr>
    <w:rPr>
      <w:rFonts w:eastAsiaTheme="majorEastAsia" w:cstheme="majorBidi"/>
      <w:b/>
      <w:i/>
      <w:iCs/>
      <w:color w:val="686C75"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1558"/>
    <w:rPr>
      <w:rFonts w:ascii="Arial Bold" w:eastAsia="Times New Roman" w:hAnsi="Arial Bold" w:cs="Arial"/>
      <w:b/>
      <w:bCs/>
      <w:color w:val="D2002E" w:themeColor="accent1"/>
      <w:kern w:val="32"/>
      <w:sz w:val="44"/>
      <w:szCs w:val="32"/>
    </w:rPr>
  </w:style>
  <w:style w:type="character" w:customStyle="1" w:styleId="Heading2Char">
    <w:name w:val="Heading 2 Char"/>
    <w:basedOn w:val="DefaultParagraphFont"/>
    <w:link w:val="Heading2"/>
    <w:rsid w:val="00573D18"/>
    <w:rPr>
      <w:rFonts w:ascii="Arial" w:eastAsia="Times New Roman" w:hAnsi="Arial" w:cs="Arial"/>
      <w:b/>
      <w:iCs/>
      <w:kern w:val="32"/>
      <w:sz w:val="36"/>
      <w:szCs w:val="28"/>
    </w:rPr>
  </w:style>
  <w:style w:type="character" w:customStyle="1" w:styleId="Heading3Char">
    <w:name w:val="Heading 3 Char"/>
    <w:basedOn w:val="DefaultParagraphFont"/>
    <w:link w:val="Heading3"/>
    <w:rsid w:val="0038453C"/>
    <w:rPr>
      <w:rFonts w:ascii="Arial" w:eastAsia="Times New Roman" w:hAnsi="Arial" w:cs="Arial"/>
      <w:b/>
      <w:bCs/>
      <w:sz w:val="28"/>
      <w:szCs w:val="26"/>
    </w:rPr>
  </w:style>
  <w:style w:type="paragraph" w:styleId="Header">
    <w:name w:val="header"/>
    <w:aliases w:val="Rdg Header"/>
    <w:link w:val="HeaderChar"/>
    <w:autoRedefine/>
    <w:rsid w:val="00F83BB9"/>
    <w:pPr>
      <w:tabs>
        <w:tab w:val="right" w:pos="8222"/>
        <w:tab w:val="right" w:pos="9356"/>
      </w:tabs>
      <w:spacing w:before="120" w:after="0" w:line="240" w:lineRule="auto"/>
    </w:pPr>
    <w:rPr>
      <w:rFonts w:ascii="Arial" w:eastAsia="Times New Roman" w:hAnsi="Arial" w:cs="Times New Roman"/>
      <w:b/>
      <w:bCs/>
      <w:sz w:val="20"/>
      <w:szCs w:val="20"/>
    </w:rPr>
  </w:style>
  <w:style w:type="character" w:customStyle="1" w:styleId="HeaderChar">
    <w:name w:val="Header Char"/>
    <w:aliases w:val="Rdg Header Char"/>
    <w:basedOn w:val="DefaultParagraphFont"/>
    <w:link w:val="Header"/>
    <w:rsid w:val="00F83BB9"/>
    <w:rPr>
      <w:rFonts w:ascii="Arial" w:eastAsia="Times New Roman" w:hAnsi="Arial" w:cs="Times New Roman"/>
      <w:b/>
      <w:bCs/>
      <w:sz w:val="20"/>
      <w:szCs w:val="20"/>
    </w:rPr>
  </w:style>
  <w:style w:type="paragraph" w:customStyle="1" w:styleId="UoRTitle">
    <w:name w:val="UoR Title"/>
    <w:next w:val="Normal"/>
    <w:autoRedefine/>
    <w:rsid w:val="0038453C"/>
    <w:pPr>
      <w:overflowPunct w:val="0"/>
      <w:autoSpaceDE w:val="0"/>
      <w:autoSpaceDN w:val="0"/>
      <w:adjustRightInd w:val="0"/>
      <w:snapToGrid w:val="0"/>
      <w:spacing w:before="120" w:after="0" w:line="240" w:lineRule="auto"/>
      <w:textAlignment w:val="baseline"/>
    </w:pPr>
    <w:rPr>
      <w:rFonts w:ascii="Arial Bold" w:eastAsia="Times New Roman" w:hAnsi="Arial Bold" w:cs="Times New Roman"/>
      <w:b/>
      <w:noProof/>
      <w:color w:val="D2002E" w:themeColor="accent1"/>
      <w:sz w:val="76"/>
      <w:szCs w:val="40"/>
    </w:rPr>
  </w:style>
  <w:style w:type="paragraph" w:customStyle="1" w:styleId="UoRSubtitle">
    <w:name w:val="UoR Subtitle"/>
    <w:basedOn w:val="UoRTitle"/>
    <w:autoRedefine/>
    <w:rsid w:val="00DD54FD"/>
    <w:pPr>
      <w:tabs>
        <w:tab w:val="left" w:pos="6096"/>
      </w:tabs>
    </w:pPr>
    <w:rPr>
      <w:color w:val="50535A" w:themeColor="text1"/>
      <w:sz w:val="32"/>
      <w:szCs w:val="32"/>
    </w:rPr>
  </w:style>
  <w:style w:type="paragraph" w:customStyle="1" w:styleId="UoRContentslist">
    <w:name w:val="UoR Contents list"/>
    <w:autoRedefine/>
    <w:rsid w:val="0038453C"/>
    <w:pPr>
      <w:widowControl w:val="0"/>
      <w:tabs>
        <w:tab w:val="right" w:pos="6237"/>
      </w:tabs>
      <w:autoSpaceDE w:val="0"/>
      <w:autoSpaceDN w:val="0"/>
      <w:adjustRightInd w:val="0"/>
      <w:spacing w:before="60" w:after="0" w:line="280" w:lineRule="exact"/>
      <w:ind w:left="2552" w:right="1701" w:hanging="851"/>
    </w:pPr>
    <w:rPr>
      <w:rFonts w:ascii="Arial" w:eastAsia="Times New Roman" w:hAnsi="Arial" w:cs="Times New Roman"/>
      <w:szCs w:val="24"/>
    </w:rPr>
  </w:style>
  <w:style w:type="paragraph" w:customStyle="1" w:styleId="UoRContentsHeader">
    <w:name w:val="UoR Contents Header"/>
    <w:basedOn w:val="UoRContentslist"/>
    <w:rsid w:val="005D6C5D"/>
    <w:pPr>
      <w:spacing w:before="720" w:after="180" w:line="360" w:lineRule="exact"/>
    </w:pPr>
    <w:rPr>
      <w:b/>
      <w:caps/>
      <w:sz w:val="32"/>
    </w:rPr>
  </w:style>
  <w:style w:type="paragraph" w:customStyle="1" w:styleId="UoRIntroduction">
    <w:name w:val="UoR Introduction"/>
    <w:basedOn w:val="Normal"/>
    <w:autoRedefine/>
    <w:rsid w:val="0038453C"/>
    <w:pPr>
      <w:spacing w:after="60" w:line="240" w:lineRule="auto"/>
    </w:pPr>
    <w:rPr>
      <w:b/>
      <w:sz w:val="28"/>
    </w:rPr>
  </w:style>
  <w:style w:type="paragraph" w:styleId="ListParagraph">
    <w:name w:val="List Paragraph"/>
    <w:basedOn w:val="Normal"/>
    <w:uiPriority w:val="34"/>
    <w:qFormat/>
    <w:rsid w:val="0038453C"/>
    <w:pPr>
      <w:numPr>
        <w:numId w:val="1"/>
      </w:numPr>
      <w:contextualSpacing/>
    </w:pPr>
  </w:style>
  <w:style w:type="paragraph" w:customStyle="1" w:styleId="UoRUnitname">
    <w:name w:val="UoR Unit name"/>
    <w:autoRedefine/>
    <w:rsid w:val="0038453C"/>
    <w:pPr>
      <w:spacing w:after="0" w:line="300" w:lineRule="exact"/>
    </w:pPr>
    <w:rPr>
      <w:rFonts w:ascii="Arial" w:eastAsia="Times New Roman" w:hAnsi="Arial" w:cs="Times New Roman"/>
      <w:b/>
      <w:sz w:val="24"/>
      <w:szCs w:val="24"/>
    </w:rPr>
  </w:style>
  <w:style w:type="paragraph" w:customStyle="1" w:styleId="UoRContentsHeader2">
    <w:name w:val="UoR Contents Header 2"/>
    <w:basedOn w:val="UoRContentslist"/>
    <w:autoRedefine/>
    <w:rsid w:val="005D6C5D"/>
    <w:pPr>
      <w:spacing w:before="180"/>
    </w:pPr>
    <w:rPr>
      <w:b/>
    </w:rPr>
  </w:style>
  <w:style w:type="paragraph" w:customStyle="1" w:styleId="UoRCaptions">
    <w:name w:val="UoR Captions"/>
    <w:basedOn w:val="Normal"/>
    <w:rsid w:val="0038453C"/>
    <w:pPr>
      <w:spacing w:after="240"/>
    </w:pPr>
  </w:style>
  <w:style w:type="paragraph" w:styleId="BalloonText">
    <w:name w:val="Balloon Text"/>
    <w:basedOn w:val="Normal"/>
    <w:link w:val="BalloonTextChar"/>
    <w:uiPriority w:val="99"/>
    <w:semiHidden/>
    <w:unhideWhenUsed/>
    <w:rsid w:val="00AA47A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7AB"/>
    <w:rPr>
      <w:rFonts w:ascii="Tahoma" w:eastAsia="Times New Roman" w:hAnsi="Tahoma" w:cs="Tahoma"/>
      <w:sz w:val="16"/>
      <w:szCs w:val="16"/>
      <w:lang w:eastAsia="en-GB"/>
    </w:rPr>
  </w:style>
  <w:style w:type="paragraph" w:styleId="TOCHeading">
    <w:name w:val="TOC Heading"/>
    <w:basedOn w:val="Heading1"/>
    <w:next w:val="Normal"/>
    <w:uiPriority w:val="39"/>
    <w:unhideWhenUsed/>
    <w:qFormat/>
    <w:rsid w:val="0038453C"/>
    <w:pPr>
      <w:spacing w:after="0" w:line="276" w:lineRule="auto"/>
      <w:outlineLvl w:val="9"/>
    </w:pPr>
    <w:rPr>
      <w:rFonts w:eastAsiaTheme="majorEastAsia" w:cstheme="majorBidi"/>
      <w:kern w:val="0"/>
      <w:sz w:val="28"/>
      <w:szCs w:val="28"/>
      <w:lang w:eastAsia="ja-JP"/>
    </w:rPr>
  </w:style>
  <w:style w:type="paragraph" w:styleId="TOC3">
    <w:name w:val="toc 3"/>
    <w:basedOn w:val="Normal"/>
    <w:next w:val="Normal"/>
    <w:autoRedefine/>
    <w:uiPriority w:val="39"/>
    <w:unhideWhenUsed/>
    <w:rsid w:val="0038453C"/>
    <w:pPr>
      <w:spacing w:after="100"/>
      <w:ind w:left="440"/>
    </w:pPr>
  </w:style>
  <w:style w:type="paragraph" w:styleId="TOC1">
    <w:name w:val="toc 1"/>
    <w:basedOn w:val="Normal"/>
    <w:next w:val="Normal"/>
    <w:autoRedefine/>
    <w:uiPriority w:val="39"/>
    <w:unhideWhenUsed/>
    <w:rsid w:val="0038453C"/>
    <w:pPr>
      <w:tabs>
        <w:tab w:val="right" w:leader="dot" w:pos="9451"/>
      </w:tabs>
      <w:spacing w:after="100"/>
    </w:pPr>
  </w:style>
  <w:style w:type="paragraph" w:styleId="TOC2">
    <w:name w:val="toc 2"/>
    <w:basedOn w:val="Normal"/>
    <w:next w:val="Normal"/>
    <w:autoRedefine/>
    <w:uiPriority w:val="39"/>
    <w:unhideWhenUsed/>
    <w:rsid w:val="0038453C"/>
    <w:pPr>
      <w:spacing w:after="100"/>
      <w:ind w:left="220"/>
    </w:pPr>
  </w:style>
  <w:style w:type="character" w:styleId="Hyperlink">
    <w:name w:val="Hyperlink"/>
    <w:basedOn w:val="DefaultParagraphFont"/>
    <w:uiPriority w:val="99"/>
    <w:unhideWhenUsed/>
    <w:rsid w:val="002F286A"/>
    <w:rPr>
      <w:color w:val="D2002E" w:themeColor="hyperlink"/>
      <w:u w:val="single"/>
    </w:rPr>
  </w:style>
  <w:style w:type="character" w:styleId="SubtleReference">
    <w:name w:val="Subtle Reference"/>
    <w:basedOn w:val="DefaultParagraphFont"/>
    <w:uiPriority w:val="31"/>
    <w:qFormat/>
    <w:rsid w:val="000E1538"/>
    <w:rPr>
      <w:smallCaps/>
      <w:color w:val="D2002E" w:themeColor="accent1"/>
      <w:u w:val="single"/>
    </w:rPr>
  </w:style>
  <w:style w:type="character" w:styleId="IntenseReference">
    <w:name w:val="Intense Reference"/>
    <w:basedOn w:val="DefaultParagraphFont"/>
    <w:uiPriority w:val="32"/>
    <w:qFormat/>
    <w:rsid w:val="000E1538"/>
    <w:rPr>
      <w:b/>
      <w:bCs/>
      <w:smallCaps/>
      <w:color w:val="D2002E" w:themeColor="accent1"/>
      <w:spacing w:val="5"/>
      <w:u w:val="single"/>
    </w:rPr>
  </w:style>
  <w:style w:type="paragraph" w:styleId="Footer">
    <w:name w:val="footer"/>
    <w:basedOn w:val="Normal"/>
    <w:link w:val="FooterChar"/>
    <w:uiPriority w:val="99"/>
    <w:unhideWhenUsed/>
    <w:rsid w:val="0038453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8453C"/>
    <w:rPr>
      <w:rFonts w:ascii="Arial" w:eastAsia="Times New Roman" w:hAnsi="Arial" w:cs="Times New Roman"/>
      <w:sz w:val="24"/>
      <w:lang w:eastAsia="en-GB"/>
    </w:rPr>
  </w:style>
  <w:style w:type="table" w:customStyle="1" w:styleId="UoRTable">
    <w:name w:val="UoR Table"/>
    <w:basedOn w:val="TableNormal"/>
    <w:uiPriority w:val="99"/>
    <w:rsid w:val="00542315"/>
    <w:pPr>
      <w:spacing w:after="0" w:line="240" w:lineRule="auto"/>
    </w:pPr>
    <w:rPr>
      <w:rFonts w:ascii="Effra" w:eastAsia="Times New Roman" w:hAnsi="Effra" w:cs="Times New Roman"/>
      <w:lang w:eastAsia="en-GB"/>
    </w:rPr>
    <w:tblPr>
      <w:tblBorders>
        <w:top w:val="single" w:sz="4" w:space="0" w:color="auto"/>
        <w:bottom w:val="single" w:sz="4" w:space="0" w:color="auto"/>
        <w:insideH w:val="single" w:sz="4" w:space="0" w:color="auto"/>
      </w:tblBorders>
      <w:tblCellMar>
        <w:top w:w="57" w:type="dxa"/>
        <w:left w:w="113" w:type="dxa"/>
        <w:bottom w:w="113" w:type="dxa"/>
      </w:tblCellMar>
    </w:tblPr>
    <w:tcPr>
      <w:shd w:val="clear" w:color="auto" w:fill="auto"/>
    </w:tcPr>
    <w:tblStylePr w:type="firstRow">
      <w:pPr>
        <w:wordWrap/>
        <w:spacing w:beforeLines="0" w:before="0" w:beforeAutospacing="0"/>
      </w:pPr>
      <w:rPr>
        <w:rFonts w:ascii="___WRD_EMBED_SUB_42" w:hAnsi="___WRD_EMBED_SUB_42"/>
        <w:b/>
        <w:i w:val="0"/>
        <w:caps/>
        <w:smallCaps w:val="0"/>
      </w:rPr>
      <w:tblPr>
        <w:tblCellMar>
          <w:top w:w="113" w:type="dxa"/>
          <w:left w:w="113" w:type="dxa"/>
          <w:bottom w:w="113" w:type="dxa"/>
          <w:right w:w="108" w:type="dxa"/>
        </w:tblCellMar>
      </w:tblPr>
      <w:tcPr>
        <w:tcBorders>
          <w:top w:val="single" w:sz="24" w:space="0" w:color="FFFFFF" w:themeColor="background1"/>
          <w:left w:val="nil"/>
          <w:bottom w:val="nil"/>
          <w:right w:val="nil"/>
          <w:insideH w:val="nil"/>
          <w:insideV w:val="nil"/>
          <w:tl2br w:val="nil"/>
          <w:tr2bl w:val="nil"/>
        </w:tcBorders>
        <w:shd w:val="solid" w:color="auto" w:fill="50535A" w:themeFill="text1"/>
      </w:tcPr>
    </w:tblStylePr>
    <w:tblStylePr w:type="firstCol">
      <w:rPr>
        <w:rFonts w:ascii="___WRD_EMBED_SUB_42" w:hAnsi="___WRD_EMBED_SUB_42"/>
        <w:b/>
        <w:i w:val="0"/>
      </w:rPr>
    </w:tblStylePr>
  </w:style>
  <w:style w:type="character" w:styleId="PlaceholderText">
    <w:name w:val="Placeholder Text"/>
    <w:basedOn w:val="DefaultParagraphFont"/>
    <w:uiPriority w:val="99"/>
    <w:semiHidden/>
    <w:rsid w:val="000F7D30"/>
    <w:rPr>
      <w:color w:val="808080"/>
    </w:rPr>
  </w:style>
  <w:style w:type="character" w:customStyle="1" w:styleId="Heading4Char">
    <w:name w:val="Heading 4 Char"/>
    <w:basedOn w:val="DefaultParagraphFont"/>
    <w:link w:val="Heading4"/>
    <w:uiPriority w:val="9"/>
    <w:rsid w:val="005D6C5D"/>
    <w:rPr>
      <w:rFonts w:ascii="Arial" w:eastAsiaTheme="majorEastAsia" w:hAnsi="Arial" w:cstheme="majorBidi"/>
      <w:b/>
      <w:i/>
      <w:iCs/>
      <w:color w:val="9D0021" w:themeColor="accent1" w:themeShade="BF"/>
      <w:sz w:val="20"/>
      <w:lang w:eastAsia="en-GB"/>
    </w:rPr>
  </w:style>
  <w:style w:type="character" w:customStyle="1" w:styleId="Heading5Char">
    <w:name w:val="Heading 5 Char"/>
    <w:basedOn w:val="DefaultParagraphFont"/>
    <w:link w:val="Heading5"/>
    <w:uiPriority w:val="9"/>
    <w:rsid w:val="005D6C5D"/>
    <w:rPr>
      <w:rFonts w:ascii="Arial" w:eastAsiaTheme="majorEastAsia" w:hAnsi="Arial" w:cstheme="majorBidi"/>
      <w:color w:val="9D0021" w:themeColor="accent1" w:themeShade="BF"/>
      <w:sz w:val="20"/>
      <w:lang w:eastAsia="en-GB"/>
    </w:rPr>
  </w:style>
  <w:style w:type="character" w:customStyle="1" w:styleId="Heading6Char">
    <w:name w:val="Heading 6 Char"/>
    <w:basedOn w:val="DefaultParagraphFont"/>
    <w:link w:val="Heading6"/>
    <w:uiPriority w:val="9"/>
    <w:rsid w:val="005D6C5D"/>
    <w:rPr>
      <w:rFonts w:ascii="Arial" w:eastAsiaTheme="majorEastAsia" w:hAnsi="Arial" w:cstheme="majorBidi"/>
      <w:b/>
      <w:color w:val="680016" w:themeColor="accent1" w:themeShade="7F"/>
      <w:sz w:val="20"/>
      <w:lang w:eastAsia="en-GB"/>
    </w:rPr>
  </w:style>
  <w:style w:type="character" w:customStyle="1" w:styleId="Heading7Char">
    <w:name w:val="Heading 7 Char"/>
    <w:basedOn w:val="DefaultParagraphFont"/>
    <w:link w:val="Heading7"/>
    <w:uiPriority w:val="9"/>
    <w:rsid w:val="005D6C5D"/>
    <w:rPr>
      <w:rFonts w:ascii="Arial" w:eastAsiaTheme="majorEastAsia" w:hAnsi="Arial" w:cstheme="majorBidi"/>
      <w:b/>
      <w:i/>
      <w:iCs/>
      <w:color w:val="680016" w:themeColor="accent1" w:themeShade="7F"/>
      <w:sz w:val="20"/>
      <w:lang w:eastAsia="en-GB"/>
    </w:rPr>
  </w:style>
  <w:style w:type="character" w:customStyle="1" w:styleId="Heading8Char">
    <w:name w:val="Heading 8 Char"/>
    <w:basedOn w:val="DefaultParagraphFont"/>
    <w:link w:val="Heading8"/>
    <w:uiPriority w:val="9"/>
    <w:rsid w:val="005D6C5D"/>
    <w:rPr>
      <w:rFonts w:ascii="Arial" w:eastAsiaTheme="majorEastAsia" w:hAnsi="Arial" w:cstheme="majorBidi"/>
      <w:color w:val="686C75" w:themeColor="text1" w:themeTint="D8"/>
      <w:sz w:val="20"/>
      <w:szCs w:val="21"/>
      <w:lang w:eastAsia="en-GB"/>
    </w:rPr>
  </w:style>
  <w:style w:type="character" w:customStyle="1" w:styleId="Heading9Char">
    <w:name w:val="Heading 9 Char"/>
    <w:basedOn w:val="DefaultParagraphFont"/>
    <w:link w:val="Heading9"/>
    <w:uiPriority w:val="9"/>
    <w:rsid w:val="005D6C5D"/>
    <w:rPr>
      <w:rFonts w:ascii="Arial" w:eastAsiaTheme="majorEastAsia" w:hAnsi="Arial" w:cstheme="majorBidi"/>
      <w:b/>
      <w:i/>
      <w:iCs/>
      <w:color w:val="686C75" w:themeColor="text1" w:themeTint="D8"/>
      <w:sz w:val="20"/>
      <w:szCs w:val="21"/>
      <w:lang w:eastAsia="en-GB"/>
    </w:rPr>
  </w:style>
  <w:style w:type="character" w:styleId="Strong">
    <w:name w:val="Strong"/>
    <w:basedOn w:val="DefaultParagraphFont"/>
    <w:uiPriority w:val="22"/>
    <w:qFormat/>
    <w:rsid w:val="00BC01DD"/>
    <w:rPr>
      <w:b/>
      <w:bCs/>
    </w:rPr>
  </w:style>
  <w:style w:type="paragraph" w:styleId="Caption">
    <w:name w:val="caption"/>
    <w:basedOn w:val="UoRCaptions"/>
    <w:next w:val="Normal"/>
    <w:uiPriority w:val="35"/>
    <w:unhideWhenUsed/>
    <w:qFormat/>
    <w:rsid w:val="0038453C"/>
  </w:style>
  <w:style w:type="character" w:styleId="CommentReference">
    <w:name w:val="annotation reference"/>
    <w:basedOn w:val="DefaultParagraphFont"/>
    <w:uiPriority w:val="99"/>
    <w:semiHidden/>
    <w:unhideWhenUsed/>
    <w:rsid w:val="00065212"/>
    <w:rPr>
      <w:sz w:val="16"/>
      <w:szCs w:val="16"/>
    </w:rPr>
  </w:style>
  <w:style w:type="paragraph" w:styleId="CommentText">
    <w:name w:val="annotation text"/>
    <w:basedOn w:val="Normal"/>
    <w:link w:val="CommentTextChar"/>
    <w:uiPriority w:val="99"/>
    <w:unhideWhenUsed/>
    <w:rsid w:val="00065212"/>
    <w:pPr>
      <w:spacing w:line="240" w:lineRule="auto"/>
    </w:pPr>
    <w:rPr>
      <w:sz w:val="20"/>
      <w:szCs w:val="20"/>
    </w:rPr>
  </w:style>
  <w:style w:type="character" w:customStyle="1" w:styleId="CommentTextChar">
    <w:name w:val="Comment Text Char"/>
    <w:basedOn w:val="DefaultParagraphFont"/>
    <w:link w:val="CommentText"/>
    <w:uiPriority w:val="99"/>
    <w:rsid w:val="00065212"/>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65212"/>
    <w:rPr>
      <w:b/>
      <w:bCs/>
    </w:rPr>
  </w:style>
  <w:style w:type="character" w:customStyle="1" w:styleId="CommentSubjectChar">
    <w:name w:val="Comment Subject Char"/>
    <w:basedOn w:val="CommentTextChar"/>
    <w:link w:val="CommentSubject"/>
    <w:uiPriority w:val="99"/>
    <w:semiHidden/>
    <w:rsid w:val="00065212"/>
    <w:rPr>
      <w:rFonts w:ascii="Arial" w:eastAsia="Times New Roman" w:hAnsi="Arial" w:cs="Times New Roman"/>
      <w:b/>
      <w:bCs/>
      <w:sz w:val="20"/>
      <w:szCs w:val="20"/>
      <w:lang w:eastAsia="en-GB"/>
    </w:rPr>
  </w:style>
  <w:style w:type="character" w:styleId="Mention">
    <w:name w:val="Mention"/>
    <w:basedOn w:val="DefaultParagraphFont"/>
    <w:uiPriority w:val="99"/>
    <w:unhideWhenUsed/>
    <w:rsid w:val="00065212"/>
    <w:rPr>
      <w:color w:val="2B579A"/>
      <w:shd w:val="clear" w:color="auto" w:fill="E1DFDD"/>
    </w:rPr>
  </w:style>
  <w:style w:type="character" w:styleId="UnresolvedMention">
    <w:name w:val="Unresolved Mention"/>
    <w:basedOn w:val="DefaultParagraphFont"/>
    <w:uiPriority w:val="99"/>
    <w:semiHidden/>
    <w:unhideWhenUsed/>
    <w:rsid w:val="005370D2"/>
    <w:rPr>
      <w:color w:val="605E5C"/>
      <w:shd w:val="clear" w:color="auto" w:fill="E1DFDD"/>
    </w:rPr>
  </w:style>
  <w:style w:type="table" w:styleId="TableGrid">
    <w:name w:val="Table Grid"/>
    <w:basedOn w:val="TableNormal"/>
    <w:uiPriority w:val="39"/>
    <w:rsid w:val="00F4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40522"/>
    <w:pPr>
      <w:spacing w:after="0" w:line="240" w:lineRule="auto"/>
    </w:pPr>
  </w:style>
  <w:style w:type="character" w:styleId="FollowedHyperlink">
    <w:name w:val="FollowedHyperlink"/>
    <w:basedOn w:val="DefaultParagraphFont"/>
    <w:uiPriority w:val="99"/>
    <w:semiHidden/>
    <w:unhideWhenUsed/>
    <w:rsid w:val="006F75C8"/>
    <w:rPr>
      <w:color w:val="747478" w:themeColor="followedHyperlink"/>
      <w:u w:val="single"/>
    </w:rPr>
  </w:style>
  <w:style w:type="paragraph" w:styleId="Revision">
    <w:name w:val="Revision"/>
    <w:hidden/>
    <w:uiPriority w:val="99"/>
    <w:semiHidden/>
    <w:rsid w:val="00E05956"/>
    <w:pPr>
      <w:spacing w:after="0" w:line="240" w:lineRule="auto"/>
    </w:pPr>
    <w:rPr>
      <w:rFonts w:ascii="Arial" w:eastAsia="Times New Roman" w:hAnsi="Arial" w:cs="Times New Roman"/>
      <w:sz w:val="24"/>
      <w:lang w:eastAsia="en-GB"/>
    </w:rPr>
  </w:style>
  <w:style w:type="table" w:styleId="PlainTable2">
    <w:name w:val="Plain Table 2"/>
    <w:basedOn w:val="TableNormal"/>
    <w:uiPriority w:val="42"/>
    <w:rsid w:val="00774F8C"/>
    <w:pPr>
      <w:spacing w:after="0" w:line="240" w:lineRule="auto"/>
    </w:pPr>
    <w:tblPr>
      <w:tblStyleRowBandSize w:val="1"/>
      <w:tblStyleColBandSize w:val="1"/>
      <w:tblBorders>
        <w:top w:val="single" w:sz="4" w:space="0" w:color="A4A7AE" w:themeColor="text1" w:themeTint="80"/>
        <w:bottom w:val="single" w:sz="4" w:space="0" w:color="A4A7AE" w:themeColor="text1" w:themeTint="80"/>
      </w:tblBorders>
    </w:tblPr>
    <w:tblStylePr w:type="firstRow">
      <w:rPr>
        <w:b/>
        <w:bCs/>
      </w:rPr>
      <w:tblPr/>
      <w:tcPr>
        <w:tcBorders>
          <w:bottom w:val="single" w:sz="4" w:space="0" w:color="A4A7AE" w:themeColor="text1" w:themeTint="80"/>
        </w:tcBorders>
      </w:tcPr>
    </w:tblStylePr>
    <w:tblStylePr w:type="lastRow">
      <w:rPr>
        <w:b/>
        <w:bCs/>
      </w:rPr>
      <w:tblPr/>
      <w:tcPr>
        <w:tcBorders>
          <w:top w:val="single" w:sz="4" w:space="0" w:color="A4A7AE" w:themeColor="text1" w:themeTint="80"/>
        </w:tcBorders>
      </w:tcPr>
    </w:tblStylePr>
    <w:tblStylePr w:type="firstCol">
      <w:rPr>
        <w:b/>
        <w:bCs/>
      </w:rPr>
    </w:tblStylePr>
    <w:tblStylePr w:type="lastCol">
      <w:rPr>
        <w:b/>
        <w:bCs/>
      </w:rPr>
    </w:tblStylePr>
    <w:tblStylePr w:type="band1Vert">
      <w:tblPr/>
      <w:tcPr>
        <w:tcBorders>
          <w:left w:val="single" w:sz="4" w:space="0" w:color="A4A7AE" w:themeColor="text1" w:themeTint="80"/>
          <w:right w:val="single" w:sz="4" w:space="0" w:color="A4A7AE" w:themeColor="text1" w:themeTint="80"/>
        </w:tcBorders>
      </w:tcPr>
    </w:tblStylePr>
    <w:tblStylePr w:type="band2Vert">
      <w:tblPr/>
      <w:tcPr>
        <w:tcBorders>
          <w:left w:val="single" w:sz="4" w:space="0" w:color="A4A7AE" w:themeColor="text1" w:themeTint="80"/>
          <w:right w:val="single" w:sz="4" w:space="0" w:color="A4A7AE" w:themeColor="text1" w:themeTint="80"/>
        </w:tcBorders>
      </w:tcPr>
    </w:tblStylePr>
    <w:tblStylePr w:type="band1Horz">
      <w:tblPr/>
      <w:tcPr>
        <w:tcBorders>
          <w:top w:val="single" w:sz="4" w:space="0" w:color="A4A7AE" w:themeColor="text1" w:themeTint="80"/>
          <w:bottom w:val="single" w:sz="4" w:space="0" w:color="A4A7AE" w:themeColor="text1" w:themeTint="80"/>
        </w:tcBorders>
      </w:tcPr>
    </w:tblStylePr>
  </w:style>
  <w:style w:type="paragraph" w:styleId="NormalWeb">
    <w:name w:val="Normal (Web)"/>
    <w:basedOn w:val="Normal"/>
    <w:uiPriority w:val="99"/>
    <w:semiHidden/>
    <w:unhideWhenUsed/>
    <w:rsid w:val="006037B2"/>
    <w:pPr>
      <w:spacing w:before="100" w:beforeAutospacing="1" w:after="100" w:afterAutospacing="1"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5949">
      <w:bodyDiv w:val="1"/>
      <w:marLeft w:val="0"/>
      <w:marRight w:val="0"/>
      <w:marTop w:val="0"/>
      <w:marBottom w:val="0"/>
      <w:divBdr>
        <w:top w:val="none" w:sz="0" w:space="0" w:color="auto"/>
        <w:left w:val="none" w:sz="0" w:space="0" w:color="auto"/>
        <w:bottom w:val="none" w:sz="0" w:space="0" w:color="auto"/>
        <w:right w:val="none" w:sz="0" w:space="0" w:color="auto"/>
      </w:divBdr>
    </w:div>
    <w:div w:id="44108543">
      <w:bodyDiv w:val="1"/>
      <w:marLeft w:val="0"/>
      <w:marRight w:val="0"/>
      <w:marTop w:val="0"/>
      <w:marBottom w:val="0"/>
      <w:divBdr>
        <w:top w:val="none" w:sz="0" w:space="0" w:color="auto"/>
        <w:left w:val="none" w:sz="0" w:space="0" w:color="auto"/>
        <w:bottom w:val="none" w:sz="0" w:space="0" w:color="auto"/>
        <w:right w:val="none" w:sz="0" w:space="0" w:color="auto"/>
      </w:divBdr>
    </w:div>
    <w:div w:id="79764996">
      <w:bodyDiv w:val="1"/>
      <w:marLeft w:val="0"/>
      <w:marRight w:val="0"/>
      <w:marTop w:val="0"/>
      <w:marBottom w:val="0"/>
      <w:divBdr>
        <w:top w:val="none" w:sz="0" w:space="0" w:color="auto"/>
        <w:left w:val="none" w:sz="0" w:space="0" w:color="auto"/>
        <w:bottom w:val="none" w:sz="0" w:space="0" w:color="auto"/>
        <w:right w:val="none" w:sz="0" w:space="0" w:color="auto"/>
      </w:divBdr>
    </w:div>
    <w:div w:id="125200746">
      <w:bodyDiv w:val="1"/>
      <w:marLeft w:val="0"/>
      <w:marRight w:val="0"/>
      <w:marTop w:val="0"/>
      <w:marBottom w:val="0"/>
      <w:divBdr>
        <w:top w:val="none" w:sz="0" w:space="0" w:color="auto"/>
        <w:left w:val="none" w:sz="0" w:space="0" w:color="auto"/>
        <w:bottom w:val="none" w:sz="0" w:space="0" w:color="auto"/>
        <w:right w:val="none" w:sz="0" w:space="0" w:color="auto"/>
      </w:divBdr>
      <w:divsChild>
        <w:div w:id="2045783016">
          <w:marLeft w:val="0"/>
          <w:marRight w:val="0"/>
          <w:marTop w:val="0"/>
          <w:marBottom w:val="0"/>
          <w:divBdr>
            <w:top w:val="none" w:sz="0" w:space="0" w:color="auto"/>
            <w:left w:val="none" w:sz="0" w:space="0" w:color="auto"/>
            <w:bottom w:val="none" w:sz="0" w:space="0" w:color="auto"/>
            <w:right w:val="none" w:sz="0" w:space="0" w:color="auto"/>
          </w:divBdr>
        </w:div>
      </w:divsChild>
    </w:div>
    <w:div w:id="282349859">
      <w:bodyDiv w:val="1"/>
      <w:marLeft w:val="0"/>
      <w:marRight w:val="0"/>
      <w:marTop w:val="0"/>
      <w:marBottom w:val="0"/>
      <w:divBdr>
        <w:top w:val="none" w:sz="0" w:space="0" w:color="auto"/>
        <w:left w:val="none" w:sz="0" w:space="0" w:color="auto"/>
        <w:bottom w:val="none" w:sz="0" w:space="0" w:color="auto"/>
        <w:right w:val="none" w:sz="0" w:space="0" w:color="auto"/>
      </w:divBdr>
    </w:div>
    <w:div w:id="376511374">
      <w:bodyDiv w:val="1"/>
      <w:marLeft w:val="0"/>
      <w:marRight w:val="0"/>
      <w:marTop w:val="0"/>
      <w:marBottom w:val="0"/>
      <w:divBdr>
        <w:top w:val="none" w:sz="0" w:space="0" w:color="auto"/>
        <w:left w:val="none" w:sz="0" w:space="0" w:color="auto"/>
        <w:bottom w:val="none" w:sz="0" w:space="0" w:color="auto"/>
        <w:right w:val="none" w:sz="0" w:space="0" w:color="auto"/>
      </w:divBdr>
    </w:div>
    <w:div w:id="497892113">
      <w:bodyDiv w:val="1"/>
      <w:marLeft w:val="0"/>
      <w:marRight w:val="0"/>
      <w:marTop w:val="0"/>
      <w:marBottom w:val="0"/>
      <w:divBdr>
        <w:top w:val="none" w:sz="0" w:space="0" w:color="auto"/>
        <w:left w:val="none" w:sz="0" w:space="0" w:color="auto"/>
        <w:bottom w:val="none" w:sz="0" w:space="0" w:color="auto"/>
        <w:right w:val="none" w:sz="0" w:space="0" w:color="auto"/>
      </w:divBdr>
      <w:divsChild>
        <w:div w:id="51120506">
          <w:marLeft w:val="0"/>
          <w:marRight w:val="0"/>
          <w:marTop w:val="0"/>
          <w:marBottom w:val="0"/>
          <w:divBdr>
            <w:top w:val="none" w:sz="0" w:space="0" w:color="auto"/>
            <w:left w:val="none" w:sz="0" w:space="0" w:color="auto"/>
            <w:bottom w:val="none" w:sz="0" w:space="0" w:color="auto"/>
            <w:right w:val="none" w:sz="0" w:space="0" w:color="auto"/>
          </w:divBdr>
        </w:div>
      </w:divsChild>
    </w:div>
    <w:div w:id="660545969">
      <w:bodyDiv w:val="1"/>
      <w:marLeft w:val="0"/>
      <w:marRight w:val="0"/>
      <w:marTop w:val="0"/>
      <w:marBottom w:val="0"/>
      <w:divBdr>
        <w:top w:val="none" w:sz="0" w:space="0" w:color="auto"/>
        <w:left w:val="none" w:sz="0" w:space="0" w:color="auto"/>
        <w:bottom w:val="none" w:sz="0" w:space="0" w:color="auto"/>
        <w:right w:val="none" w:sz="0" w:space="0" w:color="auto"/>
      </w:divBdr>
      <w:divsChild>
        <w:div w:id="779226884">
          <w:marLeft w:val="0"/>
          <w:marRight w:val="0"/>
          <w:marTop w:val="0"/>
          <w:marBottom w:val="0"/>
          <w:divBdr>
            <w:top w:val="none" w:sz="0" w:space="0" w:color="auto"/>
            <w:left w:val="none" w:sz="0" w:space="0" w:color="auto"/>
            <w:bottom w:val="none" w:sz="0" w:space="0" w:color="auto"/>
            <w:right w:val="none" w:sz="0" w:space="0" w:color="auto"/>
          </w:divBdr>
        </w:div>
      </w:divsChild>
    </w:div>
    <w:div w:id="692727048">
      <w:bodyDiv w:val="1"/>
      <w:marLeft w:val="0"/>
      <w:marRight w:val="0"/>
      <w:marTop w:val="0"/>
      <w:marBottom w:val="0"/>
      <w:divBdr>
        <w:top w:val="none" w:sz="0" w:space="0" w:color="auto"/>
        <w:left w:val="none" w:sz="0" w:space="0" w:color="auto"/>
        <w:bottom w:val="none" w:sz="0" w:space="0" w:color="auto"/>
        <w:right w:val="none" w:sz="0" w:space="0" w:color="auto"/>
      </w:divBdr>
    </w:div>
    <w:div w:id="722749373">
      <w:bodyDiv w:val="1"/>
      <w:marLeft w:val="0"/>
      <w:marRight w:val="0"/>
      <w:marTop w:val="0"/>
      <w:marBottom w:val="0"/>
      <w:divBdr>
        <w:top w:val="none" w:sz="0" w:space="0" w:color="auto"/>
        <w:left w:val="none" w:sz="0" w:space="0" w:color="auto"/>
        <w:bottom w:val="none" w:sz="0" w:space="0" w:color="auto"/>
        <w:right w:val="none" w:sz="0" w:space="0" w:color="auto"/>
      </w:divBdr>
      <w:divsChild>
        <w:div w:id="429817480">
          <w:marLeft w:val="0"/>
          <w:marRight w:val="0"/>
          <w:marTop w:val="0"/>
          <w:marBottom w:val="0"/>
          <w:divBdr>
            <w:top w:val="none" w:sz="0" w:space="0" w:color="auto"/>
            <w:left w:val="none" w:sz="0" w:space="0" w:color="auto"/>
            <w:bottom w:val="none" w:sz="0" w:space="0" w:color="auto"/>
            <w:right w:val="none" w:sz="0" w:space="0" w:color="auto"/>
          </w:divBdr>
        </w:div>
        <w:div w:id="531724150">
          <w:marLeft w:val="0"/>
          <w:marRight w:val="0"/>
          <w:marTop w:val="0"/>
          <w:marBottom w:val="0"/>
          <w:divBdr>
            <w:top w:val="none" w:sz="0" w:space="0" w:color="auto"/>
            <w:left w:val="none" w:sz="0" w:space="0" w:color="auto"/>
            <w:bottom w:val="none" w:sz="0" w:space="0" w:color="auto"/>
            <w:right w:val="none" w:sz="0" w:space="0" w:color="auto"/>
          </w:divBdr>
        </w:div>
        <w:div w:id="570123534">
          <w:marLeft w:val="0"/>
          <w:marRight w:val="0"/>
          <w:marTop w:val="0"/>
          <w:marBottom w:val="0"/>
          <w:divBdr>
            <w:top w:val="none" w:sz="0" w:space="0" w:color="auto"/>
            <w:left w:val="none" w:sz="0" w:space="0" w:color="auto"/>
            <w:bottom w:val="none" w:sz="0" w:space="0" w:color="auto"/>
            <w:right w:val="none" w:sz="0" w:space="0" w:color="auto"/>
          </w:divBdr>
        </w:div>
        <w:div w:id="618298705">
          <w:marLeft w:val="0"/>
          <w:marRight w:val="0"/>
          <w:marTop w:val="0"/>
          <w:marBottom w:val="0"/>
          <w:divBdr>
            <w:top w:val="none" w:sz="0" w:space="0" w:color="auto"/>
            <w:left w:val="none" w:sz="0" w:space="0" w:color="auto"/>
            <w:bottom w:val="none" w:sz="0" w:space="0" w:color="auto"/>
            <w:right w:val="none" w:sz="0" w:space="0" w:color="auto"/>
          </w:divBdr>
        </w:div>
        <w:div w:id="704064331">
          <w:marLeft w:val="0"/>
          <w:marRight w:val="0"/>
          <w:marTop w:val="0"/>
          <w:marBottom w:val="0"/>
          <w:divBdr>
            <w:top w:val="none" w:sz="0" w:space="0" w:color="auto"/>
            <w:left w:val="none" w:sz="0" w:space="0" w:color="auto"/>
            <w:bottom w:val="none" w:sz="0" w:space="0" w:color="auto"/>
            <w:right w:val="none" w:sz="0" w:space="0" w:color="auto"/>
          </w:divBdr>
        </w:div>
        <w:div w:id="961764099">
          <w:marLeft w:val="0"/>
          <w:marRight w:val="0"/>
          <w:marTop w:val="0"/>
          <w:marBottom w:val="0"/>
          <w:divBdr>
            <w:top w:val="none" w:sz="0" w:space="0" w:color="auto"/>
            <w:left w:val="none" w:sz="0" w:space="0" w:color="auto"/>
            <w:bottom w:val="none" w:sz="0" w:space="0" w:color="auto"/>
            <w:right w:val="none" w:sz="0" w:space="0" w:color="auto"/>
          </w:divBdr>
        </w:div>
        <w:div w:id="1404715888">
          <w:marLeft w:val="0"/>
          <w:marRight w:val="0"/>
          <w:marTop w:val="0"/>
          <w:marBottom w:val="0"/>
          <w:divBdr>
            <w:top w:val="none" w:sz="0" w:space="0" w:color="auto"/>
            <w:left w:val="none" w:sz="0" w:space="0" w:color="auto"/>
            <w:bottom w:val="none" w:sz="0" w:space="0" w:color="auto"/>
            <w:right w:val="none" w:sz="0" w:space="0" w:color="auto"/>
          </w:divBdr>
        </w:div>
        <w:div w:id="1414819952">
          <w:marLeft w:val="0"/>
          <w:marRight w:val="0"/>
          <w:marTop w:val="0"/>
          <w:marBottom w:val="0"/>
          <w:divBdr>
            <w:top w:val="none" w:sz="0" w:space="0" w:color="auto"/>
            <w:left w:val="none" w:sz="0" w:space="0" w:color="auto"/>
            <w:bottom w:val="none" w:sz="0" w:space="0" w:color="auto"/>
            <w:right w:val="none" w:sz="0" w:space="0" w:color="auto"/>
          </w:divBdr>
        </w:div>
        <w:div w:id="1442147296">
          <w:marLeft w:val="0"/>
          <w:marRight w:val="0"/>
          <w:marTop w:val="0"/>
          <w:marBottom w:val="0"/>
          <w:divBdr>
            <w:top w:val="none" w:sz="0" w:space="0" w:color="auto"/>
            <w:left w:val="none" w:sz="0" w:space="0" w:color="auto"/>
            <w:bottom w:val="none" w:sz="0" w:space="0" w:color="auto"/>
            <w:right w:val="none" w:sz="0" w:space="0" w:color="auto"/>
          </w:divBdr>
        </w:div>
        <w:div w:id="1604999668">
          <w:marLeft w:val="0"/>
          <w:marRight w:val="0"/>
          <w:marTop w:val="0"/>
          <w:marBottom w:val="0"/>
          <w:divBdr>
            <w:top w:val="none" w:sz="0" w:space="0" w:color="auto"/>
            <w:left w:val="none" w:sz="0" w:space="0" w:color="auto"/>
            <w:bottom w:val="none" w:sz="0" w:space="0" w:color="auto"/>
            <w:right w:val="none" w:sz="0" w:space="0" w:color="auto"/>
          </w:divBdr>
        </w:div>
        <w:div w:id="1690985598">
          <w:marLeft w:val="0"/>
          <w:marRight w:val="0"/>
          <w:marTop w:val="0"/>
          <w:marBottom w:val="0"/>
          <w:divBdr>
            <w:top w:val="none" w:sz="0" w:space="0" w:color="auto"/>
            <w:left w:val="none" w:sz="0" w:space="0" w:color="auto"/>
            <w:bottom w:val="none" w:sz="0" w:space="0" w:color="auto"/>
            <w:right w:val="none" w:sz="0" w:space="0" w:color="auto"/>
          </w:divBdr>
        </w:div>
        <w:div w:id="2082679396">
          <w:marLeft w:val="0"/>
          <w:marRight w:val="0"/>
          <w:marTop w:val="0"/>
          <w:marBottom w:val="0"/>
          <w:divBdr>
            <w:top w:val="none" w:sz="0" w:space="0" w:color="auto"/>
            <w:left w:val="none" w:sz="0" w:space="0" w:color="auto"/>
            <w:bottom w:val="none" w:sz="0" w:space="0" w:color="auto"/>
            <w:right w:val="none" w:sz="0" w:space="0" w:color="auto"/>
          </w:divBdr>
        </w:div>
      </w:divsChild>
    </w:div>
    <w:div w:id="741953913">
      <w:bodyDiv w:val="1"/>
      <w:marLeft w:val="0"/>
      <w:marRight w:val="0"/>
      <w:marTop w:val="0"/>
      <w:marBottom w:val="0"/>
      <w:divBdr>
        <w:top w:val="none" w:sz="0" w:space="0" w:color="auto"/>
        <w:left w:val="none" w:sz="0" w:space="0" w:color="auto"/>
        <w:bottom w:val="none" w:sz="0" w:space="0" w:color="auto"/>
        <w:right w:val="none" w:sz="0" w:space="0" w:color="auto"/>
      </w:divBdr>
    </w:div>
    <w:div w:id="878660892">
      <w:bodyDiv w:val="1"/>
      <w:marLeft w:val="0"/>
      <w:marRight w:val="0"/>
      <w:marTop w:val="0"/>
      <w:marBottom w:val="0"/>
      <w:divBdr>
        <w:top w:val="none" w:sz="0" w:space="0" w:color="auto"/>
        <w:left w:val="none" w:sz="0" w:space="0" w:color="auto"/>
        <w:bottom w:val="none" w:sz="0" w:space="0" w:color="auto"/>
        <w:right w:val="none" w:sz="0" w:space="0" w:color="auto"/>
      </w:divBdr>
      <w:divsChild>
        <w:div w:id="312606831">
          <w:marLeft w:val="0"/>
          <w:marRight w:val="0"/>
          <w:marTop w:val="0"/>
          <w:marBottom w:val="0"/>
          <w:divBdr>
            <w:top w:val="none" w:sz="0" w:space="0" w:color="auto"/>
            <w:left w:val="none" w:sz="0" w:space="0" w:color="auto"/>
            <w:bottom w:val="none" w:sz="0" w:space="0" w:color="auto"/>
            <w:right w:val="none" w:sz="0" w:space="0" w:color="auto"/>
          </w:divBdr>
          <w:divsChild>
            <w:div w:id="190143475">
              <w:marLeft w:val="0"/>
              <w:marRight w:val="0"/>
              <w:marTop w:val="0"/>
              <w:marBottom w:val="0"/>
              <w:divBdr>
                <w:top w:val="none" w:sz="0" w:space="0" w:color="auto"/>
                <w:left w:val="none" w:sz="0" w:space="0" w:color="auto"/>
                <w:bottom w:val="none" w:sz="0" w:space="0" w:color="auto"/>
                <w:right w:val="none" w:sz="0" w:space="0" w:color="auto"/>
              </w:divBdr>
            </w:div>
          </w:divsChild>
        </w:div>
        <w:div w:id="404574902">
          <w:marLeft w:val="0"/>
          <w:marRight w:val="0"/>
          <w:marTop w:val="0"/>
          <w:marBottom w:val="0"/>
          <w:divBdr>
            <w:top w:val="none" w:sz="0" w:space="0" w:color="auto"/>
            <w:left w:val="none" w:sz="0" w:space="0" w:color="auto"/>
            <w:bottom w:val="none" w:sz="0" w:space="0" w:color="auto"/>
            <w:right w:val="none" w:sz="0" w:space="0" w:color="auto"/>
          </w:divBdr>
          <w:divsChild>
            <w:div w:id="655230334">
              <w:marLeft w:val="0"/>
              <w:marRight w:val="0"/>
              <w:marTop w:val="0"/>
              <w:marBottom w:val="0"/>
              <w:divBdr>
                <w:top w:val="none" w:sz="0" w:space="0" w:color="auto"/>
                <w:left w:val="none" w:sz="0" w:space="0" w:color="auto"/>
                <w:bottom w:val="none" w:sz="0" w:space="0" w:color="auto"/>
                <w:right w:val="none" w:sz="0" w:space="0" w:color="auto"/>
              </w:divBdr>
            </w:div>
            <w:div w:id="1263412327">
              <w:marLeft w:val="0"/>
              <w:marRight w:val="0"/>
              <w:marTop w:val="0"/>
              <w:marBottom w:val="0"/>
              <w:divBdr>
                <w:top w:val="none" w:sz="0" w:space="0" w:color="auto"/>
                <w:left w:val="none" w:sz="0" w:space="0" w:color="auto"/>
                <w:bottom w:val="none" w:sz="0" w:space="0" w:color="auto"/>
                <w:right w:val="none" w:sz="0" w:space="0" w:color="auto"/>
              </w:divBdr>
            </w:div>
          </w:divsChild>
        </w:div>
        <w:div w:id="421688266">
          <w:marLeft w:val="0"/>
          <w:marRight w:val="0"/>
          <w:marTop w:val="0"/>
          <w:marBottom w:val="0"/>
          <w:divBdr>
            <w:top w:val="none" w:sz="0" w:space="0" w:color="auto"/>
            <w:left w:val="none" w:sz="0" w:space="0" w:color="auto"/>
            <w:bottom w:val="none" w:sz="0" w:space="0" w:color="auto"/>
            <w:right w:val="none" w:sz="0" w:space="0" w:color="auto"/>
          </w:divBdr>
          <w:divsChild>
            <w:div w:id="94639409">
              <w:marLeft w:val="0"/>
              <w:marRight w:val="0"/>
              <w:marTop w:val="0"/>
              <w:marBottom w:val="0"/>
              <w:divBdr>
                <w:top w:val="none" w:sz="0" w:space="0" w:color="auto"/>
                <w:left w:val="none" w:sz="0" w:space="0" w:color="auto"/>
                <w:bottom w:val="none" w:sz="0" w:space="0" w:color="auto"/>
                <w:right w:val="none" w:sz="0" w:space="0" w:color="auto"/>
              </w:divBdr>
            </w:div>
          </w:divsChild>
        </w:div>
        <w:div w:id="532771101">
          <w:marLeft w:val="0"/>
          <w:marRight w:val="0"/>
          <w:marTop w:val="0"/>
          <w:marBottom w:val="0"/>
          <w:divBdr>
            <w:top w:val="none" w:sz="0" w:space="0" w:color="auto"/>
            <w:left w:val="none" w:sz="0" w:space="0" w:color="auto"/>
            <w:bottom w:val="none" w:sz="0" w:space="0" w:color="auto"/>
            <w:right w:val="none" w:sz="0" w:space="0" w:color="auto"/>
          </w:divBdr>
          <w:divsChild>
            <w:div w:id="54084976">
              <w:marLeft w:val="0"/>
              <w:marRight w:val="0"/>
              <w:marTop w:val="0"/>
              <w:marBottom w:val="0"/>
              <w:divBdr>
                <w:top w:val="none" w:sz="0" w:space="0" w:color="auto"/>
                <w:left w:val="none" w:sz="0" w:space="0" w:color="auto"/>
                <w:bottom w:val="none" w:sz="0" w:space="0" w:color="auto"/>
                <w:right w:val="none" w:sz="0" w:space="0" w:color="auto"/>
              </w:divBdr>
            </w:div>
            <w:div w:id="1933002534">
              <w:marLeft w:val="0"/>
              <w:marRight w:val="0"/>
              <w:marTop w:val="0"/>
              <w:marBottom w:val="0"/>
              <w:divBdr>
                <w:top w:val="none" w:sz="0" w:space="0" w:color="auto"/>
                <w:left w:val="none" w:sz="0" w:space="0" w:color="auto"/>
                <w:bottom w:val="none" w:sz="0" w:space="0" w:color="auto"/>
                <w:right w:val="none" w:sz="0" w:space="0" w:color="auto"/>
              </w:divBdr>
            </w:div>
          </w:divsChild>
        </w:div>
        <w:div w:id="649166118">
          <w:marLeft w:val="0"/>
          <w:marRight w:val="0"/>
          <w:marTop w:val="0"/>
          <w:marBottom w:val="0"/>
          <w:divBdr>
            <w:top w:val="none" w:sz="0" w:space="0" w:color="auto"/>
            <w:left w:val="none" w:sz="0" w:space="0" w:color="auto"/>
            <w:bottom w:val="none" w:sz="0" w:space="0" w:color="auto"/>
            <w:right w:val="none" w:sz="0" w:space="0" w:color="auto"/>
          </w:divBdr>
          <w:divsChild>
            <w:div w:id="826364891">
              <w:marLeft w:val="0"/>
              <w:marRight w:val="0"/>
              <w:marTop w:val="0"/>
              <w:marBottom w:val="0"/>
              <w:divBdr>
                <w:top w:val="none" w:sz="0" w:space="0" w:color="auto"/>
                <w:left w:val="none" w:sz="0" w:space="0" w:color="auto"/>
                <w:bottom w:val="none" w:sz="0" w:space="0" w:color="auto"/>
                <w:right w:val="none" w:sz="0" w:space="0" w:color="auto"/>
              </w:divBdr>
            </w:div>
            <w:div w:id="1001618515">
              <w:marLeft w:val="0"/>
              <w:marRight w:val="0"/>
              <w:marTop w:val="0"/>
              <w:marBottom w:val="0"/>
              <w:divBdr>
                <w:top w:val="none" w:sz="0" w:space="0" w:color="auto"/>
                <w:left w:val="none" w:sz="0" w:space="0" w:color="auto"/>
                <w:bottom w:val="none" w:sz="0" w:space="0" w:color="auto"/>
                <w:right w:val="none" w:sz="0" w:space="0" w:color="auto"/>
              </w:divBdr>
            </w:div>
          </w:divsChild>
        </w:div>
        <w:div w:id="714935562">
          <w:marLeft w:val="0"/>
          <w:marRight w:val="0"/>
          <w:marTop w:val="0"/>
          <w:marBottom w:val="0"/>
          <w:divBdr>
            <w:top w:val="none" w:sz="0" w:space="0" w:color="auto"/>
            <w:left w:val="none" w:sz="0" w:space="0" w:color="auto"/>
            <w:bottom w:val="none" w:sz="0" w:space="0" w:color="auto"/>
            <w:right w:val="none" w:sz="0" w:space="0" w:color="auto"/>
          </w:divBdr>
          <w:divsChild>
            <w:div w:id="489489417">
              <w:marLeft w:val="0"/>
              <w:marRight w:val="0"/>
              <w:marTop w:val="0"/>
              <w:marBottom w:val="0"/>
              <w:divBdr>
                <w:top w:val="none" w:sz="0" w:space="0" w:color="auto"/>
                <w:left w:val="none" w:sz="0" w:space="0" w:color="auto"/>
                <w:bottom w:val="none" w:sz="0" w:space="0" w:color="auto"/>
                <w:right w:val="none" w:sz="0" w:space="0" w:color="auto"/>
              </w:divBdr>
            </w:div>
            <w:div w:id="1128668880">
              <w:marLeft w:val="0"/>
              <w:marRight w:val="0"/>
              <w:marTop w:val="0"/>
              <w:marBottom w:val="0"/>
              <w:divBdr>
                <w:top w:val="none" w:sz="0" w:space="0" w:color="auto"/>
                <w:left w:val="none" w:sz="0" w:space="0" w:color="auto"/>
                <w:bottom w:val="none" w:sz="0" w:space="0" w:color="auto"/>
                <w:right w:val="none" w:sz="0" w:space="0" w:color="auto"/>
              </w:divBdr>
            </w:div>
          </w:divsChild>
        </w:div>
        <w:div w:id="721711520">
          <w:marLeft w:val="0"/>
          <w:marRight w:val="0"/>
          <w:marTop w:val="0"/>
          <w:marBottom w:val="0"/>
          <w:divBdr>
            <w:top w:val="none" w:sz="0" w:space="0" w:color="auto"/>
            <w:left w:val="none" w:sz="0" w:space="0" w:color="auto"/>
            <w:bottom w:val="none" w:sz="0" w:space="0" w:color="auto"/>
            <w:right w:val="none" w:sz="0" w:space="0" w:color="auto"/>
          </w:divBdr>
          <w:divsChild>
            <w:div w:id="988830107">
              <w:marLeft w:val="0"/>
              <w:marRight w:val="0"/>
              <w:marTop w:val="0"/>
              <w:marBottom w:val="0"/>
              <w:divBdr>
                <w:top w:val="none" w:sz="0" w:space="0" w:color="auto"/>
                <w:left w:val="none" w:sz="0" w:space="0" w:color="auto"/>
                <w:bottom w:val="none" w:sz="0" w:space="0" w:color="auto"/>
                <w:right w:val="none" w:sz="0" w:space="0" w:color="auto"/>
              </w:divBdr>
            </w:div>
          </w:divsChild>
        </w:div>
        <w:div w:id="791830489">
          <w:marLeft w:val="0"/>
          <w:marRight w:val="0"/>
          <w:marTop w:val="0"/>
          <w:marBottom w:val="0"/>
          <w:divBdr>
            <w:top w:val="none" w:sz="0" w:space="0" w:color="auto"/>
            <w:left w:val="none" w:sz="0" w:space="0" w:color="auto"/>
            <w:bottom w:val="none" w:sz="0" w:space="0" w:color="auto"/>
            <w:right w:val="none" w:sz="0" w:space="0" w:color="auto"/>
          </w:divBdr>
          <w:divsChild>
            <w:div w:id="673998910">
              <w:marLeft w:val="0"/>
              <w:marRight w:val="0"/>
              <w:marTop w:val="0"/>
              <w:marBottom w:val="0"/>
              <w:divBdr>
                <w:top w:val="none" w:sz="0" w:space="0" w:color="auto"/>
                <w:left w:val="none" w:sz="0" w:space="0" w:color="auto"/>
                <w:bottom w:val="none" w:sz="0" w:space="0" w:color="auto"/>
                <w:right w:val="none" w:sz="0" w:space="0" w:color="auto"/>
              </w:divBdr>
            </w:div>
          </w:divsChild>
        </w:div>
        <w:div w:id="962031566">
          <w:marLeft w:val="0"/>
          <w:marRight w:val="0"/>
          <w:marTop w:val="0"/>
          <w:marBottom w:val="0"/>
          <w:divBdr>
            <w:top w:val="none" w:sz="0" w:space="0" w:color="auto"/>
            <w:left w:val="none" w:sz="0" w:space="0" w:color="auto"/>
            <w:bottom w:val="none" w:sz="0" w:space="0" w:color="auto"/>
            <w:right w:val="none" w:sz="0" w:space="0" w:color="auto"/>
          </w:divBdr>
          <w:divsChild>
            <w:div w:id="1249460477">
              <w:marLeft w:val="0"/>
              <w:marRight w:val="0"/>
              <w:marTop w:val="0"/>
              <w:marBottom w:val="0"/>
              <w:divBdr>
                <w:top w:val="none" w:sz="0" w:space="0" w:color="auto"/>
                <w:left w:val="none" w:sz="0" w:space="0" w:color="auto"/>
                <w:bottom w:val="none" w:sz="0" w:space="0" w:color="auto"/>
                <w:right w:val="none" w:sz="0" w:space="0" w:color="auto"/>
              </w:divBdr>
            </w:div>
          </w:divsChild>
        </w:div>
        <w:div w:id="1070810123">
          <w:marLeft w:val="0"/>
          <w:marRight w:val="0"/>
          <w:marTop w:val="0"/>
          <w:marBottom w:val="0"/>
          <w:divBdr>
            <w:top w:val="none" w:sz="0" w:space="0" w:color="auto"/>
            <w:left w:val="none" w:sz="0" w:space="0" w:color="auto"/>
            <w:bottom w:val="none" w:sz="0" w:space="0" w:color="auto"/>
            <w:right w:val="none" w:sz="0" w:space="0" w:color="auto"/>
          </w:divBdr>
          <w:divsChild>
            <w:div w:id="1308903003">
              <w:marLeft w:val="0"/>
              <w:marRight w:val="0"/>
              <w:marTop w:val="0"/>
              <w:marBottom w:val="0"/>
              <w:divBdr>
                <w:top w:val="none" w:sz="0" w:space="0" w:color="auto"/>
                <w:left w:val="none" w:sz="0" w:space="0" w:color="auto"/>
                <w:bottom w:val="none" w:sz="0" w:space="0" w:color="auto"/>
                <w:right w:val="none" w:sz="0" w:space="0" w:color="auto"/>
              </w:divBdr>
            </w:div>
          </w:divsChild>
        </w:div>
        <w:div w:id="1137800805">
          <w:marLeft w:val="0"/>
          <w:marRight w:val="0"/>
          <w:marTop w:val="0"/>
          <w:marBottom w:val="0"/>
          <w:divBdr>
            <w:top w:val="none" w:sz="0" w:space="0" w:color="auto"/>
            <w:left w:val="none" w:sz="0" w:space="0" w:color="auto"/>
            <w:bottom w:val="none" w:sz="0" w:space="0" w:color="auto"/>
            <w:right w:val="none" w:sz="0" w:space="0" w:color="auto"/>
          </w:divBdr>
          <w:divsChild>
            <w:div w:id="838887696">
              <w:marLeft w:val="0"/>
              <w:marRight w:val="0"/>
              <w:marTop w:val="0"/>
              <w:marBottom w:val="0"/>
              <w:divBdr>
                <w:top w:val="none" w:sz="0" w:space="0" w:color="auto"/>
                <w:left w:val="none" w:sz="0" w:space="0" w:color="auto"/>
                <w:bottom w:val="none" w:sz="0" w:space="0" w:color="auto"/>
                <w:right w:val="none" w:sz="0" w:space="0" w:color="auto"/>
              </w:divBdr>
            </w:div>
          </w:divsChild>
        </w:div>
        <w:div w:id="1324045369">
          <w:marLeft w:val="0"/>
          <w:marRight w:val="0"/>
          <w:marTop w:val="0"/>
          <w:marBottom w:val="0"/>
          <w:divBdr>
            <w:top w:val="none" w:sz="0" w:space="0" w:color="auto"/>
            <w:left w:val="none" w:sz="0" w:space="0" w:color="auto"/>
            <w:bottom w:val="none" w:sz="0" w:space="0" w:color="auto"/>
            <w:right w:val="none" w:sz="0" w:space="0" w:color="auto"/>
          </w:divBdr>
          <w:divsChild>
            <w:div w:id="1028676690">
              <w:marLeft w:val="0"/>
              <w:marRight w:val="0"/>
              <w:marTop w:val="0"/>
              <w:marBottom w:val="0"/>
              <w:divBdr>
                <w:top w:val="none" w:sz="0" w:space="0" w:color="auto"/>
                <w:left w:val="none" w:sz="0" w:space="0" w:color="auto"/>
                <w:bottom w:val="none" w:sz="0" w:space="0" w:color="auto"/>
                <w:right w:val="none" w:sz="0" w:space="0" w:color="auto"/>
              </w:divBdr>
            </w:div>
            <w:div w:id="1581059588">
              <w:marLeft w:val="0"/>
              <w:marRight w:val="0"/>
              <w:marTop w:val="0"/>
              <w:marBottom w:val="0"/>
              <w:divBdr>
                <w:top w:val="none" w:sz="0" w:space="0" w:color="auto"/>
                <w:left w:val="none" w:sz="0" w:space="0" w:color="auto"/>
                <w:bottom w:val="none" w:sz="0" w:space="0" w:color="auto"/>
                <w:right w:val="none" w:sz="0" w:space="0" w:color="auto"/>
              </w:divBdr>
            </w:div>
          </w:divsChild>
        </w:div>
        <w:div w:id="1410038076">
          <w:marLeft w:val="0"/>
          <w:marRight w:val="0"/>
          <w:marTop w:val="0"/>
          <w:marBottom w:val="0"/>
          <w:divBdr>
            <w:top w:val="none" w:sz="0" w:space="0" w:color="auto"/>
            <w:left w:val="none" w:sz="0" w:space="0" w:color="auto"/>
            <w:bottom w:val="none" w:sz="0" w:space="0" w:color="auto"/>
            <w:right w:val="none" w:sz="0" w:space="0" w:color="auto"/>
          </w:divBdr>
          <w:divsChild>
            <w:div w:id="180628817">
              <w:marLeft w:val="0"/>
              <w:marRight w:val="0"/>
              <w:marTop w:val="0"/>
              <w:marBottom w:val="0"/>
              <w:divBdr>
                <w:top w:val="none" w:sz="0" w:space="0" w:color="auto"/>
                <w:left w:val="none" w:sz="0" w:space="0" w:color="auto"/>
                <w:bottom w:val="none" w:sz="0" w:space="0" w:color="auto"/>
                <w:right w:val="none" w:sz="0" w:space="0" w:color="auto"/>
              </w:divBdr>
            </w:div>
            <w:div w:id="417606158">
              <w:marLeft w:val="0"/>
              <w:marRight w:val="0"/>
              <w:marTop w:val="0"/>
              <w:marBottom w:val="0"/>
              <w:divBdr>
                <w:top w:val="none" w:sz="0" w:space="0" w:color="auto"/>
                <w:left w:val="none" w:sz="0" w:space="0" w:color="auto"/>
                <w:bottom w:val="none" w:sz="0" w:space="0" w:color="auto"/>
                <w:right w:val="none" w:sz="0" w:space="0" w:color="auto"/>
              </w:divBdr>
            </w:div>
            <w:div w:id="2104257786">
              <w:marLeft w:val="0"/>
              <w:marRight w:val="0"/>
              <w:marTop w:val="0"/>
              <w:marBottom w:val="0"/>
              <w:divBdr>
                <w:top w:val="none" w:sz="0" w:space="0" w:color="auto"/>
                <w:left w:val="none" w:sz="0" w:space="0" w:color="auto"/>
                <w:bottom w:val="none" w:sz="0" w:space="0" w:color="auto"/>
                <w:right w:val="none" w:sz="0" w:space="0" w:color="auto"/>
              </w:divBdr>
            </w:div>
          </w:divsChild>
        </w:div>
        <w:div w:id="1504053124">
          <w:marLeft w:val="0"/>
          <w:marRight w:val="0"/>
          <w:marTop w:val="0"/>
          <w:marBottom w:val="0"/>
          <w:divBdr>
            <w:top w:val="none" w:sz="0" w:space="0" w:color="auto"/>
            <w:left w:val="none" w:sz="0" w:space="0" w:color="auto"/>
            <w:bottom w:val="none" w:sz="0" w:space="0" w:color="auto"/>
            <w:right w:val="none" w:sz="0" w:space="0" w:color="auto"/>
          </w:divBdr>
          <w:divsChild>
            <w:div w:id="1474979756">
              <w:marLeft w:val="0"/>
              <w:marRight w:val="0"/>
              <w:marTop w:val="0"/>
              <w:marBottom w:val="0"/>
              <w:divBdr>
                <w:top w:val="none" w:sz="0" w:space="0" w:color="auto"/>
                <w:left w:val="none" w:sz="0" w:space="0" w:color="auto"/>
                <w:bottom w:val="none" w:sz="0" w:space="0" w:color="auto"/>
                <w:right w:val="none" w:sz="0" w:space="0" w:color="auto"/>
              </w:divBdr>
            </w:div>
          </w:divsChild>
        </w:div>
        <w:div w:id="1677879444">
          <w:marLeft w:val="0"/>
          <w:marRight w:val="0"/>
          <w:marTop w:val="0"/>
          <w:marBottom w:val="0"/>
          <w:divBdr>
            <w:top w:val="none" w:sz="0" w:space="0" w:color="auto"/>
            <w:left w:val="none" w:sz="0" w:space="0" w:color="auto"/>
            <w:bottom w:val="none" w:sz="0" w:space="0" w:color="auto"/>
            <w:right w:val="none" w:sz="0" w:space="0" w:color="auto"/>
          </w:divBdr>
          <w:divsChild>
            <w:div w:id="994605604">
              <w:marLeft w:val="0"/>
              <w:marRight w:val="0"/>
              <w:marTop w:val="0"/>
              <w:marBottom w:val="0"/>
              <w:divBdr>
                <w:top w:val="none" w:sz="0" w:space="0" w:color="auto"/>
                <w:left w:val="none" w:sz="0" w:space="0" w:color="auto"/>
                <w:bottom w:val="none" w:sz="0" w:space="0" w:color="auto"/>
                <w:right w:val="none" w:sz="0" w:space="0" w:color="auto"/>
              </w:divBdr>
            </w:div>
          </w:divsChild>
        </w:div>
        <w:div w:id="1689746130">
          <w:marLeft w:val="0"/>
          <w:marRight w:val="0"/>
          <w:marTop w:val="0"/>
          <w:marBottom w:val="0"/>
          <w:divBdr>
            <w:top w:val="none" w:sz="0" w:space="0" w:color="auto"/>
            <w:left w:val="none" w:sz="0" w:space="0" w:color="auto"/>
            <w:bottom w:val="none" w:sz="0" w:space="0" w:color="auto"/>
            <w:right w:val="none" w:sz="0" w:space="0" w:color="auto"/>
          </w:divBdr>
          <w:divsChild>
            <w:div w:id="480196551">
              <w:marLeft w:val="0"/>
              <w:marRight w:val="0"/>
              <w:marTop w:val="0"/>
              <w:marBottom w:val="0"/>
              <w:divBdr>
                <w:top w:val="none" w:sz="0" w:space="0" w:color="auto"/>
                <w:left w:val="none" w:sz="0" w:space="0" w:color="auto"/>
                <w:bottom w:val="none" w:sz="0" w:space="0" w:color="auto"/>
                <w:right w:val="none" w:sz="0" w:space="0" w:color="auto"/>
              </w:divBdr>
            </w:div>
          </w:divsChild>
        </w:div>
        <w:div w:id="1761221647">
          <w:marLeft w:val="0"/>
          <w:marRight w:val="0"/>
          <w:marTop w:val="0"/>
          <w:marBottom w:val="0"/>
          <w:divBdr>
            <w:top w:val="none" w:sz="0" w:space="0" w:color="auto"/>
            <w:left w:val="none" w:sz="0" w:space="0" w:color="auto"/>
            <w:bottom w:val="none" w:sz="0" w:space="0" w:color="auto"/>
            <w:right w:val="none" w:sz="0" w:space="0" w:color="auto"/>
          </w:divBdr>
          <w:divsChild>
            <w:div w:id="1420716732">
              <w:marLeft w:val="0"/>
              <w:marRight w:val="0"/>
              <w:marTop w:val="0"/>
              <w:marBottom w:val="0"/>
              <w:divBdr>
                <w:top w:val="none" w:sz="0" w:space="0" w:color="auto"/>
                <w:left w:val="none" w:sz="0" w:space="0" w:color="auto"/>
                <w:bottom w:val="none" w:sz="0" w:space="0" w:color="auto"/>
                <w:right w:val="none" w:sz="0" w:space="0" w:color="auto"/>
              </w:divBdr>
            </w:div>
          </w:divsChild>
        </w:div>
        <w:div w:id="2050641951">
          <w:marLeft w:val="0"/>
          <w:marRight w:val="0"/>
          <w:marTop w:val="0"/>
          <w:marBottom w:val="0"/>
          <w:divBdr>
            <w:top w:val="none" w:sz="0" w:space="0" w:color="auto"/>
            <w:left w:val="none" w:sz="0" w:space="0" w:color="auto"/>
            <w:bottom w:val="none" w:sz="0" w:space="0" w:color="auto"/>
            <w:right w:val="none" w:sz="0" w:space="0" w:color="auto"/>
          </w:divBdr>
          <w:divsChild>
            <w:div w:id="399132456">
              <w:marLeft w:val="0"/>
              <w:marRight w:val="0"/>
              <w:marTop w:val="0"/>
              <w:marBottom w:val="0"/>
              <w:divBdr>
                <w:top w:val="none" w:sz="0" w:space="0" w:color="auto"/>
                <w:left w:val="none" w:sz="0" w:space="0" w:color="auto"/>
                <w:bottom w:val="none" w:sz="0" w:space="0" w:color="auto"/>
                <w:right w:val="none" w:sz="0" w:space="0" w:color="auto"/>
              </w:divBdr>
            </w:div>
            <w:div w:id="414671242">
              <w:marLeft w:val="0"/>
              <w:marRight w:val="0"/>
              <w:marTop w:val="0"/>
              <w:marBottom w:val="0"/>
              <w:divBdr>
                <w:top w:val="none" w:sz="0" w:space="0" w:color="auto"/>
                <w:left w:val="none" w:sz="0" w:space="0" w:color="auto"/>
                <w:bottom w:val="none" w:sz="0" w:space="0" w:color="auto"/>
                <w:right w:val="none" w:sz="0" w:space="0" w:color="auto"/>
              </w:divBdr>
            </w:div>
            <w:div w:id="446197166">
              <w:marLeft w:val="0"/>
              <w:marRight w:val="0"/>
              <w:marTop w:val="0"/>
              <w:marBottom w:val="0"/>
              <w:divBdr>
                <w:top w:val="none" w:sz="0" w:space="0" w:color="auto"/>
                <w:left w:val="none" w:sz="0" w:space="0" w:color="auto"/>
                <w:bottom w:val="none" w:sz="0" w:space="0" w:color="auto"/>
                <w:right w:val="none" w:sz="0" w:space="0" w:color="auto"/>
              </w:divBdr>
            </w:div>
            <w:div w:id="827675938">
              <w:marLeft w:val="0"/>
              <w:marRight w:val="0"/>
              <w:marTop w:val="0"/>
              <w:marBottom w:val="0"/>
              <w:divBdr>
                <w:top w:val="none" w:sz="0" w:space="0" w:color="auto"/>
                <w:left w:val="none" w:sz="0" w:space="0" w:color="auto"/>
                <w:bottom w:val="none" w:sz="0" w:space="0" w:color="auto"/>
                <w:right w:val="none" w:sz="0" w:space="0" w:color="auto"/>
              </w:divBdr>
            </w:div>
            <w:div w:id="1461921008">
              <w:marLeft w:val="0"/>
              <w:marRight w:val="0"/>
              <w:marTop w:val="0"/>
              <w:marBottom w:val="0"/>
              <w:divBdr>
                <w:top w:val="none" w:sz="0" w:space="0" w:color="auto"/>
                <w:left w:val="none" w:sz="0" w:space="0" w:color="auto"/>
                <w:bottom w:val="none" w:sz="0" w:space="0" w:color="auto"/>
                <w:right w:val="none" w:sz="0" w:space="0" w:color="auto"/>
              </w:divBdr>
            </w:div>
            <w:div w:id="170177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1650">
      <w:bodyDiv w:val="1"/>
      <w:marLeft w:val="0"/>
      <w:marRight w:val="0"/>
      <w:marTop w:val="0"/>
      <w:marBottom w:val="0"/>
      <w:divBdr>
        <w:top w:val="none" w:sz="0" w:space="0" w:color="auto"/>
        <w:left w:val="none" w:sz="0" w:space="0" w:color="auto"/>
        <w:bottom w:val="none" w:sz="0" w:space="0" w:color="auto"/>
        <w:right w:val="none" w:sz="0" w:space="0" w:color="auto"/>
      </w:divBdr>
      <w:divsChild>
        <w:div w:id="79720415">
          <w:marLeft w:val="0"/>
          <w:marRight w:val="0"/>
          <w:marTop w:val="0"/>
          <w:marBottom w:val="0"/>
          <w:divBdr>
            <w:top w:val="none" w:sz="0" w:space="0" w:color="auto"/>
            <w:left w:val="none" w:sz="0" w:space="0" w:color="auto"/>
            <w:bottom w:val="none" w:sz="0" w:space="0" w:color="auto"/>
            <w:right w:val="none" w:sz="0" w:space="0" w:color="auto"/>
          </w:divBdr>
          <w:divsChild>
            <w:div w:id="519120978">
              <w:marLeft w:val="0"/>
              <w:marRight w:val="0"/>
              <w:marTop w:val="0"/>
              <w:marBottom w:val="0"/>
              <w:divBdr>
                <w:top w:val="none" w:sz="0" w:space="0" w:color="auto"/>
                <w:left w:val="none" w:sz="0" w:space="0" w:color="auto"/>
                <w:bottom w:val="none" w:sz="0" w:space="0" w:color="auto"/>
                <w:right w:val="none" w:sz="0" w:space="0" w:color="auto"/>
              </w:divBdr>
            </w:div>
            <w:div w:id="1026633315">
              <w:marLeft w:val="0"/>
              <w:marRight w:val="0"/>
              <w:marTop w:val="0"/>
              <w:marBottom w:val="0"/>
              <w:divBdr>
                <w:top w:val="none" w:sz="0" w:space="0" w:color="auto"/>
                <w:left w:val="none" w:sz="0" w:space="0" w:color="auto"/>
                <w:bottom w:val="none" w:sz="0" w:space="0" w:color="auto"/>
                <w:right w:val="none" w:sz="0" w:space="0" w:color="auto"/>
              </w:divBdr>
            </w:div>
            <w:div w:id="1863276580">
              <w:marLeft w:val="0"/>
              <w:marRight w:val="0"/>
              <w:marTop w:val="0"/>
              <w:marBottom w:val="0"/>
              <w:divBdr>
                <w:top w:val="none" w:sz="0" w:space="0" w:color="auto"/>
                <w:left w:val="none" w:sz="0" w:space="0" w:color="auto"/>
                <w:bottom w:val="none" w:sz="0" w:space="0" w:color="auto"/>
                <w:right w:val="none" w:sz="0" w:space="0" w:color="auto"/>
              </w:divBdr>
            </w:div>
          </w:divsChild>
        </w:div>
        <w:div w:id="148131557">
          <w:marLeft w:val="0"/>
          <w:marRight w:val="0"/>
          <w:marTop w:val="0"/>
          <w:marBottom w:val="0"/>
          <w:divBdr>
            <w:top w:val="none" w:sz="0" w:space="0" w:color="auto"/>
            <w:left w:val="none" w:sz="0" w:space="0" w:color="auto"/>
            <w:bottom w:val="none" w:sz="0" w:space="0" w:color="auto"/>
            <w:right w:val="none" w:sz="0" w:space="0" w:color="auto"/>
          </w:divBdr>
          <w:divsChild>
            <w:div w:id="1975407285">
              <w:marLeft w:val="0"/>
              <w:marRight w:val="0"/>
              <w:marTop w:val="0"/>
              <w:marBottom w:val="0"/>
              <w:divBdr>
                <w:top w:val="none" w:sz="0" w:space="0" w:color="auto"/>
                <w:left w:val="none" w:sz="0" w:space="0" w:color="auto"/>
                <w:bottom w:val="none" w:sz="0" w:space="0" w:color="auto"/>
                <w:right w:val="none" w:sz="0" w:space="0" w:color="auto"/>
              </w:divBdr>
            </w:div>
          </w:divsChild>
        </w:div>
        <w:div w:id="152719719">
          <w:marLeft w:val="0"/>
          <w:marRight w:val="0"/>
          <w:marTop w:val="0"/>
          <w:marBottom w:val="0"/>
          <w:divBdr>
            <w:top w:val="none" w:sz="0" w:space="0" w:color="auto"/>
            <w:left w:val="none" w:sz="0" w:space="0" w:color="auto"/>
            <w:bottom w:val="none" w:sz="0" w:space="0" w:color="auto"/>
            <w:right w:val="none" w:sz="0" w:space="0" w:color="auto"/>
          </w:divBdr>
          <w:divsChild>
            <w:div w:id="265501355">
              <w:marLeft w:val="0"/>
              <w:marRight w:val="0"/>
              <w:marTop w:val="0"/>
              <w:marBottom w:val="0"/>
              <w:divBdr>
                <w:top w:val="none" w:sz="0" w:space="0" w:color="auto"/>
                <w:left w:val="none" w:sz="0" w:space="0" w:color="auto"/>
                <w:bottom w:val="none" w:sz="0" w:space="0" w:color="auto"/>
                <w:right w:val="none" w:sz="0" w:space="0" w:color="auto"/>
              </w:divBdr>
            </w:div>
            <w:div w:id="507018696">
              <w:marLeft w:val="0"/>
              <w:marRight w:val="0"/>
              <w:marTop w:val="0"/>
              <w:marBottom w:val="0"/>
              <w:divBdr>
                <w:top w:val="none" w:sz="0" w:space="0" w:color="auto"/>
                <w:left w:val="none" w:sz="0" w:space="0" w:color="auto"/>
                <w:bottom w:val="none" w:sz="0" w:space="0" w:color="auto"/>
                <w:right w:val="none" w:sz="0" w:space="0" w:color="auto"/>
              </w:divBdr>
            </w:div>
            <w:div w:id="728652386">
              <w:marLeft w:val="0"/>
              <w:marRight w:val="0"/>
              <w:marTop w:val="0"/>
              <w:marBottom w:val="0"/>
              <w:divBdr>
                <w:top w:val="none" w:sz="0" w:space="0" w:color="auto"/>
                <w:left w:val="none" w:sz="0" w:space="0" w:color="auto"/>
                <w:bottom w:val="none" w:sz="0" w:space="0" w:color="auto"/>
                <w:right w:val="none" w:sz="0" w:space="0" w:color="auto"/>
              </w:divBdr>
            </w:div>
            <w:div w:id="932932376">
              <w:marLeft w:val="0"/>
              <w:marRight w:val="0"/>
              <w:marTop w:val="0"/>
              <w:marBottom w:val="0"/>
              <w:divBdr>
                <w:top w:val="none" w:sz="0" w:space="0" w:color="auto"/>
                <w:left w:val="none" w:sz="0" w:space="0" w:color="auto"/>
                <w:bottom w:val="none" w:sz="0" w:space="0" w:color="auto"/>
                <w:right w:val="none" w:sz="0" w:space="0" w:color="auto"/>
              </w:divBdr>
            </w:div>
            <w:div w:id="1030229788">
              <w:marLeft w:val="0"/>
              <w:marRight w:val="0"/>
              <w:marTop w:val="0"/>
              <w:marBottom w:val="0"/>
              <w:divBdr>
                <w:top w:val="none" w:sz="0" w:space="0" w:color="auto"/>
                <w:left w:val="none" w:sz="0" w:space="0" w:color="auto"/>
                <w:bottom w:val="none" w:sz="0" w:space="0" w:color="auto"/>
                <w:right w:val="none" w:sz="0" w:space="0" w:color="auto"/>
              </w:divBdr>
            </w:div>
            <w:div w:id="1978365665">
              <w:marLeft w:val="0"/>
              <w:marRight w:val="0"/>
              <w:marTop w:val="0"/>
              <w:marBottom w:val="0"/>
              <w:divBdr>
                <w:top w:val="none" w:sz="0" w:space="0" w:color="auto"/>
                <w:left w:val="none" w:sz="0" w:space="0" w:color="auto"/>
                <w:bottom w:val="none" w:sz="0" w:space="0" w:color="auto"/>
                <w:right w:val="none" w:sz="0" w:space="0" w:color="auto"/>
              </w:divBdr>
            </w:div>
          </w:divsChild>
        </w:div>
        <w:div w:id="161818180">
          <w:marLeft w:val="0"/>
          <w:marRight w:val="0"/>
          <w:marTop w:val="0"/>
          <w:marBottom w:val="0"/>
          <w:divBdr>
            <w:top w:val="none" w:sz="0" w:space="0" w:color="auto"/>
            <w:left w:val="none" w:sz="0" w:space="0" w:color="auto"/>
            <w:bottom w:val="none" w:sz="0" w:space="0" w:color="auto"/>
            <w:right w:val="none" w:sz="0" w:space="0" w:color="auto"/>
          </w:divBdr>
          <w:divsChild>
            <w:div w:id="475488734">
              <w:marLeft w:val="0"/>
              <w:marRight w:val="0"/>
              <w:marTop w:val="0"/>
              <w:marBottom w:val="0"/>
              <w:divBdr>
                <w:top w:val="none" w:sz="0" w:space="0" w:color="auto"/>
                <w:left w:val="none" w:sz="0" w:space="0" w:color="auto"/>
                <w:bottom w:val="none" w:sz="0" w:space="0" w:color="auto"/>
                <w:right w:val="none" w:sz="0" w:space="0" w:color="auto"/>
              </w:divBdr>
            </w:div>
            <w:div w:id="679546571">
              <w:marLeft w:val="0"/>
              <w:marRight w:val="0"/>
              <w:marTop w:val="0"/>
              <w:marBottom w:val="0"/>
              <w:divBdr>
                <w:top w:val="none" w:sz="0" w:space="0" w:color="auto"/>
                <w:left w:val="none" w:sz="0" w:space="0" w:color="auto"/>
                <w:bottom w:val="none" w:sz="0" w:space="0" w:color="auto"/>
                <w:right w:val="none" w:sz="0" w:space="0" w:color="auto"/>
              </w:divBdr>
            </w:div>
          </w:divsChild>
        </w:div>
        <w:div w:id="167259085">
          <w:marLeft w:val="0"/>
          <w:marRight w:val="0"/>
          <w:marTop w:val="0"/>
          <w:marBottom w:val="0"/>
          <w:divBdr>
            <w:top w:val="none" w:sz="0" w:space="0" w:color="auto"/>
            <w:left w:val="none" w:sz="0" w:space="0" w:color="auto"/>
            <w:bottom w:val="none" w:sz="0" w:space="0" w:color="auto"/>
            <w:right w:val="none" w:sz="0" w:space="0" w:color="auto"/>
          </w:divBdr>
          <w:divsChild>
            <w:div w:id="2014840002">
              <w:marLeft w:val="0"/>
              <w:marRight w:val="0"/>
              <w:marTop w:val="0"/>
              <w:marBottom w:val="0"/>
              <w:divBdr>
                <w:top w:val="none" w:sz="0" w:space="0" w:color="auto"/>
                <w:left w:val="none" w:sz="0" w:space="0" w:color="auto"/>
                <w:bottom w:val="none" w:sz="0" w:space="0" w:color="auto"/>
                <w:right w:val="none" w:sz="0" w:space="0" w:color="auto"/>
              </w:divBdr>
            </w:div>
          </w:divsChild>
        </w:div>
        <w:div w:id="180165329">
          <w:marLeft w:val="0"/>
          <w:marRight w:val="0"/>
          <w:marTop w:val="0"/>
          <w:marBottom w:val="0"/>
          <w:divBdr>
            <w:top w:val="none" w:sz="0" w:space="0" w:color="auto"/>
            <w:left w:val="none" w:sz="0" w:space="0" w:color="auto"/>
            <w:bottom w:val="none" w:sz="0" w:space="0" w:color="auto"/>
            <w:right w:val="none" w:sz="0" w:space="0" w:color="auto"/>
          </w:divBdr>
          <w:divsChild>
            <w:div w:id="936402887">
              <w:marLeft w:val="0"/>
              <w:marRight w:val="0"/>
              <w:marTop w:val="0"/>
              <w:marBottom w:val="0"/>
              <w:divBdr>
                <w:top w:val="none" w:sz="0" w:space="0" w:color="auto"/>
                <w:left w:val="none" w:sz="0" w:space="0" w:color="auto"/>
                <w:bottom w:val="none" w:sz="0" w:space="0" w:color="auto"/>
                <w:right w:val="none" w:sz="0" w:space="0" w:color="auto"/>
              </w:divBdr>
            </w:div>
          </w:divsChild>
        </w:div>
        <w:div w:id="195628338">
          <w:marLeft w:val="0"/>
          <w:marRight w:val="0"/>
          <w:marTop w:val="0"/>
          <w:marBottom w:val="0"/>
          <w:divBdr>
            <w:top w:val="none" w:sz="0" w:space="0" w:color="auto"/>
            <w:left w:val="none" w:sz="0" w:space="0" w:color="auto"/>
            <w:bottom w:val="none" w:sz="0" w:space="0" w:color="auto"/>
            <w:right w:val="none" w:sz="0" w:space="0" w:color="auto"/>
          </w:divBdr>
          <w:divsChild>
            <w:div w:id="586963451">
              <w:marLeft w:val="0"/>
              <w:marRight w:val="0"/>
              <w:marTop w:val="0"/>
              <w:marBottom w:val="0"/>
              <w:divBdr>
                <w:top w:val="none" w:sz="0" w:space="0" w:color="auto"/>
                <w:left w:val="none" w:sz="0" w:space="0" w:color="auto"/>
                <w:bottom w:val="none" w:sz="0" w:space="0" w:color="auto"/>
                <w:right w:val="none" w:sz="0" w:space="0" w:color="auto"/>
              </w:divBdr>
            </w:div>
          </w:divsChild>
        </w:div>
        <w:div w:id="418260138">
          <w:marLeft w:val="0"/>
          <w:marRight w:val="0"/>
          <w:marTop w:val="0"/>
          <w:marBottom w:val="0"/>
          <w:divBdr>
            <w:top w:val="none" w:sz="0" w:space="0" w:color="auto"/>
            <w:left w:val="none" w:sz="0" w:space="0" w:color="auto"/>
            <w:bottom w:val="none" w:sz="0" w:space="0" w:color="auto"/>
            <w:right w:val="none" w:sz="0" w:space="0" w:color="auto"/>
          </w:divBdr>
          <w:divsChild>
            <w:div w:id="1134130351">
              <w:marLeft w:val="0"/>
              <w:marRight w:val="0"/>
              <w:marTop w:val="0"/>
              <w:marBottom w:val="0"/>
              <w:divBdr>
                <w:top w:val="none" w:sz="0" w:space="0" w:color="auto"/>
                <w:left w:val="none" w:sz="0" w:space="0" w:color="auto"/>
                <w:bottom w:val="none" w:sz="0" w:space="0" w:color="auto"/>
                <w:right w:val="none" w:sz="0" w:space="0" w:color="auto"/>
              </w:divBdr>
            </w:div>
            <w:div w:id="1714304366">
              <w:marLeft w:val="0"/>
              <w:marRight w:val="0"/>
              <w:marTop w:val="0"/>
              <w:marBottom w:val="0"/>
              <w:divBdr>
                <w:top w:val="none" w:sz="0" w:space="0" w:color="auto"/>
                <w:left w:val="none" w:sz="0" w:space="0" w:color="auto"/>
                <w:bottom w:val="none" w:sz="0" w:space="0" w:color="auto"/>
                <w:right w:val="none" w:sz="0" w:space="0" w:color="auto"/>
              </w:divBdr>
            </w:div>
          </w:divsChild>
        </w:div>
        <w:div w:id="460077094">
          <w:marLeft w:val="0"/>
          <w:marRight w:val="0"/>
          <w:marTop w:val="0"/>
          <w:marBottom w:val="0"/>
          <w:divBdr>
            <w:top w:val="none" w:sz="0" w:space="0" w:color="auto"/>
            <w:left w:val="none" w:sz="0" w:space="0" w:color="auto"/>
            <w:bottom w:val="none" w:sz="0" w:space="0" w:color="auto"/>
            <w:right w:val="none" w:sz="0" w:space="0" w:color="auto"/>
          </w:divBdr>
          <w:divsChild>
            <w:div w:id="1809592271">
              <w:marLeft w:val="0"/>
              <w:marRight w:val="0"/>
              <w:marTop w:val="0"/>
              <w:marBottom w:val="0"/>
              <w:divBdr>
                <w:top w:val="none" w:sz="0" w:space="0" w:color="auto"/>
                <w:left w:val="none" w:sz="0" w:space="0" w:color="auto"/>
                <w:bottom w:val="none" w:sz="0" w:space="0" w:color="auto"/>
                <w:right w:val="none" w:sz="0" w:space="0" w:color="auto"/>
              </w:divBdr>
            </w:div>
          </w:divsChild>
        </w:div>
        <w:div w:id="492915094">
          <w:marLeft w:val="0"/>
          <w:marRight w:val="0"/>
          <w:marTop w:val="0"/>
          <w:marBottom w:val="0"/>
          <w:divBdr>
            <w:top w:val="none" w:sz="0" w:space="0" w:color="auto"/>
            <w:left w:val="none" w:sz="0" w:space="0" w:color="auto"/>
            <w:bottom w:val="none" w:sz="0" w:space="0" w:color="auto"/>
            <w:right w:val="none" w:sz="0" w:space="0" w:color="auto"/>
          </w:divBdr>
          <w:divsChild>
            <w:div w:id="359815610">
              <w:marLeft w:val="0"/>
              <w:marRight w:val="0"/>
              <w:marTop w:val="0"/>
              <w:marBottom w:val="0"/>
              <w:divBdr>
                <w:top w:val="none" w:sz="0" w:space="0" w:color="auto"/>
                <w:left w:val="none" w:sz="0" w:space="0" w:color="auto"/>
                <w:bottom w:val="none" w:sz="0" w:space="0" w:color="auto"/>
                <w:right w:val="none" w:sz="0" w:space="0" w:color="auto"/>
              </w:divBdr>
            </w:div>
            <w:div w:id="1755979819">
              <w:marLeft w:val="0"/>
              <w:marRight w:val="0"/>
              <w:marTop w:val="0"/>
              <w:marBottom w:val="0"/>
              <w:divBdr>
                <w:top w:val="none" w:sz="0" w:space="0" w:color="auto"/>
                <w:left w:val="none" w:sz="0" w:space="0" w:color="auto"/>
                <w:bottom w:val="none" w:sz="0" w:space="0" w:color="auto"/>
                <w:right w:val="none" w:sz="0" w:space="0" w:color="auto"/>
              </w:divBdr>
            </w:div>
          </w:divsChild>
        </w:div>
        <w:div w:id="914824028">
          <w:marLeft w:val="0"/>
          <w:marRight w:val="0"/>
          <w:marTop w:val="0"/>
          <w:marBottom w:val="0"/>
          <w:divBdr>
            <w:top w:val="none" w:sz="0" w:space="0" w:color="auto"/>
            <w:left w:val="none" w:sz="0" w:space="0" w:color="auto"/>
            <w:bottom w:val="none" w:sz="0" w:space="0" w:color="auto"/>
            <w:right w:val="none" w:sz="0" w:space="0" w:color="auto"/>
          </w:divBdr>
          <w:divsChild>
            <w:div w:id="1625501444">
              <w:marLeft w:val="0"/>
              <w:marRight w:val="0"/>
              <w:marTop w:val="0"/>
              <w:marBottom w:val="0"/>
              <w:divBdr>
                <w:top w:val="none" w:sz="0" w:space="0" w:color="auto"/>
                <w:left w:val="none" w:sz="0" w:space="0" w:color="auto"/>
                <w:bottom w:val="none" w:sz="0" w:space="0" w:color="auto"/>
                <w:right w:val="none" w:sz="0" w:space="0" w:color="auto"/>
              </w:divBdr>
            </w:div>
          </w:divsChild>
        </w:div>
        <w:div w:id="917204635">
          <w:marLeft w:val="0"/>
          <w:marRight w:val="0"/>
          <w:marTop w:val="0"/>
          <w:marBottom w:val="0"/>
          <w:divBdr>
            <w:top w:val="none" w:sz="0" w:space="0" w:color="auto"/>
            <w:left w:val="none" w:sz="0" w:space="0" w:color="auto"/>
            <w:bottom w:val="none" w:sz="0" w:space="0" w:color="auto"/>
            <w:right w:val="none" w:sz="0" w:space="0" w:color="auto"/>
          </w:divBdr>
          <w:divsChild>
            <w:div w:id="808596708">
              <w:marLeft w:val="0"/>
              <w:marRight w:val="0"/>
              <w:marTop w:val="0"/>
              <w:marBottom w:val="0"/>
              <w:divBdr>
                <w:top w:val="none" w:sz="0" w:space="0" w:color="auto"/>
                <w:left w:val="none" w:sz="0" w:space="0" w:color="auto"/>
                <w:bottom w:val="none" w:sz="0" w:space="0" w:color="auto"/>
                <w:right w:val="none" w:sz="0" w:space="0" w:color="auto"/>
              </w:divBdr>
            </w:div>
          </w:divsChild>
        </w:div>
        <w:div w:id="1017534964">
          <w:marLeft w:val="0"/>
          <w:marRight w:val="0"/>
          <w:marTop w:val="0"/>
          <w:marBottom w:val="0"/>
          <w:divBdr>
            <w:top w:val="none" w:sz="0" w:space="0" w:color="auto"/>
            <w:left w:val="none" w:sz="0" w:space="0" w:color="auto"/>
            <w:bottom w:val="none" w:sz="0" w:space="0" w:color="auto"/>
            <w:right w:val="none" w:sz="0" w:space="0" w:color="auto"/>
          </w:divBdr>
          <w:divsChild>
            <w:div w:id="1750540789">
              <w:marLeft w:val="0"/>
              <w:marRight w:val="0"/>
              <w:marTop w:val="0"/>
              <w:marBottom w:val="0"/>
              <w:divBdr>
                <w:top w:val="none" w:sz="0" w:space="0" w:color="auto"/>
                <w:left w:val="none" w:sz="0" w:space="0" w:color="auto"/>
                <w:bottom w:val="none" w:sz="0" w:space="0" w:color="auto"/>
                <w:right w:val="none" w:sz="0" w:space="0" w:color="auto"/>
              </w:divBdr>
            </w:div>
          </w:divsChild>
        </w:div>
        <w:div w:id="1164784218">
          <w:marLeft w:val="0"/>
          <w:marRight w:val="0"/>
          <w:marTop w:val="0"/>
          <w:marBottom w:val="0"/>
          <w:divBdr>
            <w:top w:val="none" w:sz="0" w:space="0" w:color="auto"/>
            <w:left w:val="none" w:sz="0" w:space="0" w:color="auto"/>
            <w:bottom w:val="none" w:sz="0" w:space="0" w:color="auto"/>
            <w:right w:val="none" w:sz="0" w:space="0" w:color="auto"/>
          </w:divBdr>
          <w:divsChild>
            <w:div w:id="353842812">
              <w:marLeft w:val="0"/>
              <w:marRight w:val="0"/>
              <w:marTop w:val="0"/>
              <w:marBottom w:val="0"/>
              <w:divBdr>
                <w:top w:val="none" w:sz="0" w:space="0" w:color="auto"/>
                <w:left w:val="none" w:sz="0" w:space="0" w:color="auto"/>
                <w:bottom w:val="none" w:sz="0" w:space="0" w:color="auto"/>
                <w:right w:val="none" w:sz="0" w:space="0" w:color="auto"/>
              </w:divBdr>
            </w:div>
          </w:divsChild>
        </w:div>
        <w:div w:id="1176187891">
          <w:marLeft w:val="0"/>
          <w:marRight w:val="0"/>
          <w:marTop w:val="0"/>
          <w:marBottom w:val="0"/>
          <w:divBdr>
            <w:top w:val="none" w:sz="0" w:space="0" w:color="auto"/>
            <w:left w:val="none" w:sz="0" w:space="0" w:color="auto"/>
            <w:bottom w:val="none" w:sz="0" w:space="0" w:color="auto"/>
            <w:right w:val="none" w:sz="0" w:space="0" w:color="auto"/>
          </w:divBdr>
          <w:divsChild>
            <w:div w:id="520626270">
              <w:marLeft w:val="0"/>
              <w:marRight w:val="0"/>
              <w:marTop w:val="0"/>
              <w:marBottom w:val="0"/>
              <w:divBdr>
                <w:top w:val="none" w:sz="0" w:space="0" w:color="auto"/>
                <w:left w:val="none" w:sz="0" w:space="0" w:color="auto"/>
                <w:bottom w:val="none" w:sz="0" w:space="0" w:color="auto"/>
                <w:right w:val="none" w:sz="0" w:space="0" w:color="auto"/>
              </w:divBdr>
            </w:div>
          </w:divsChild>
        </w:div>
        <w:div w:id="1206675107">
          <w:marLeft w:val="0"/>
          <w:marRight w:val="0"/>
          <w:marTop w:val="0"/>
          <w:marBottom w:val="0"/>
          <w:divBdr>
            <w:top w:val="none" w:sz="0" w:space="0" w:color="auto"/>
            <w:left w:val="none" w:sz="0" w:space="0" w:color="auto"/>
            <w:bottom w:val="none" w:sz="0" w:space="0" w:color="auto"/>
            <w:right w:val="none" w:sz="0" w:space="0" w:color="auto"/>
          </w:divBdr>
          <w:divsChild>
            <w:div w:id="885606126">
              <w:marLeft w:val="0"/>
              <w:marRight w:val="0"/>
              <w:marTop w:val="0"/>
              <w:marBottom w:val="0"/>
              <w:divBdr>
                <w:top w:val="none" w:sz="0" w:space="0" w:color="auto"/>
                <w:left w:val="none" w:sz="0" w:space="0" w:color="auto"/>
                <w:bottom w:val="none" w:sz="0" w:space="0" w:color="auto"/>
                <w:right w:val="none" w:sz="0" w:space="0" w:color="auto"/>
              </w:divBdr>
            </w:div>
            <w:div w:id="1452672192">
              <w:marLeft w:val="0"/>
              <w:marRight w:val="0"/>
              <w:marTop w:val="0"/>
              <w:marBottom w:val="0"/>
              <w:divBdr>
                <w:top w:val="none" w:sz="0" w:space="0" w:color="auto"/>
                <w:left w:val="none" w:sz="0" w:space="0" w:color="auto"/>
                <w:bottom w:val="none" w:sz="0" w:space="0" w:color="auto"/>
                <w:right w:val="none" w:sz="0" w:space="0" w:color="auto"/>
              </w:divBdr>
            </w:div>
          </w:divsChild>
        </w:div>
        <w:div w:id="1698045363">
          <w:marLeft w:val="0"/>
          <w:marRight w:val="0"/>
          <w:marTop w:val="0"/>
          <w:marBottom w:val="0"/>
          <w:divBdr>
            <w:top w:val="none" w:sz="0" w:space="0" w:color="auto"/>
            <w:left w:val="none" w:sz="0" w:space="0" w:color="auto"/>
            <w:bottom w:val="none" w:sz="0" w:space="0" w:color="auto"/>
            <w:right w:val="none" w:sz="0" w:space="0" w:color="auto"/>
          </w:divBdr>
          <w:divsChild>
            <w:div w:id="582495124">
              <w:marLeft w:val="0"/>
              <w:marRight w:val="0"/>
              <w:marTop w:val="0"/>
              <w:marBottom w:val="0"/>
              <w:divBdr>
                <w:top w:val="none" w:sz="0" w:space="0" w:color="auto"/>
                <w:left w:val="none" w:sz="0" w:space="0" w:color="auto"/>
                <w:bottom w:val="none" w:sz="0" w:space="0" w:color="auto"/>
                <w:right w:val="none" w:sz="0" w:space="0" w:color="auto"/>
              </w:divBdr>
            </w:div>
            <w:div w:id="1305622846">
              <w:marLeft w:val="0"/>
              <w:marRight w:val="0"/>
              <w:marTop w:val="0"/>
              <w:marBottom w:val="0"/>
              <w:divBdr>
                <w:top w:val="none" w:sz="0" w:space="0" w:color="auto"/>
                <w:left w:val="none" w:sz="0" w:space="0" w:color="auto"/>
                <w:bottom w:val="none" w:sz="0" w:space="0" w:color="auto"/>
                <w:right w:val="none" w:sz="0" w:space="0" w:color="auto"/>
              </w:divBdr>
            </w:div>
          </w:divsChild>
        </w:div>
        <w:div w:id="1894612892">
          <w:marLeft w:val="0"/>
          <w:marRight w:val="0"/>
          <w:marTop w:val="0"/>
          <w:marBottom w:val="0"/>
          <w:divBdr>
            <w:top w:val="none" w:sz="0" w:space="0" w:color="auto"/>
            <w:left w:val="none" w:sz="0" w:space="0" w:color="auto"/>
            <w:bottom w:val="none" w:sz="0" w:space="0" w:color="auto"/>
            <w:right w:val="none" w:sz="0" w:space="0" w:color="auto"/>
          </w:divBdr>
          <w:divsChild>
            <w:div w:id="17404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79981">
      <w:bodyDiv w:val="1"/>
      <w:marLeft w:val="0"/>
      <w:marRight w:val="0"/>
      <w:marTop w:val="0"/>
      <w:marBottom w:val="0"/>
      <w:divBdr>
        <w:top w:val="none" w:sz="0" w:space="0" w:color="auto"/>
        <w:left w:val="none" w:sz="0" w:space="0" w:color="auto"/>
        <w:bottom w:val="none" w:sz="0" w:space="0" w:color="auto"/>
        <w:right w:val="none" w:sz="0" w:space="0" w:color="auto"/>
      </w:divBdr>
      <w:divsChild>
        <w:div w:id="348331599">
          <w:marLeft w:val="0"/>
          <w:marRight w:val="0"/>
          <w:marTop w:val="0"/>
          <w:marBottom w:val="0"/>
          <w:divBdr>
            <w:top w:val="none" w:sz="0" w:space="0" w:color="auto"/>
            <w:left w:val="none" w:sz="0" w:space="0" w:color="auto"/>
            <w:bottom w:val="none" w:sz="0" w:space="0" w:color="auto"/>
            <w:right w:val="none" w:sz="0" w:space="0" w:color="auto"/>
          </w:divBdr>
        </w:div>
      </w:divsChild>
    </w:div>
    <w:div w:id="1001541668">
      <w:bodyDiv w:val="1"/>
      <w:marLeft w:val="0"/>
      <w:marRight w:val="0"/>
      <w:marTop w:val="0"/>
      <w:marBottom w:val="0"/>
      <w:divBdr>
        <w:top w:val="none" w:sz="0" w:space="0" w:color="auto"/>
        <w:left w:val="none" w:sz="0" w:space="0" w:color="auto"/>
        <w:bottom w:val="none" w:sz="0" w:space="0" w:color="auto"/>
        <w:right w:val="none" w:sz="0" w:space="0" w:color="auto"/>
      </w:divBdr>
      <w:divsChild>
        <w:div w:id="1525822514">
          <w:marLeft w:val="0"/>
          <w:marRight w:val="0"/>
          <w:marTop w:val="0"/>
          <w:marBottom w:val="0"/>
          <w:divBdr>
            <w:top w:val="none" w:sz="0" w:space="0" w:color="auto"/>
            <w:left w:val="none" w:sz="0" w:space="0" w:color="auto"/>
            <w:bottom w:val="none" w:sz="0" w:space="0" w:color="auto"/>
            <w:right w:val="none" w:sz="0" w:space="0" w:color="auto"/>
          </w:divBdr>
        </w:div>
        <w:div w:id="1838957545">
          <w:marLeft w:val="0"/>
          <w:marRight w:val="0"/>
          <w:marTop w:val="0"/>
          <w:marBottom w:val="0"/>
          <w:divBdr>
            <w:top w:val="none" w:sz="0" w:space="0" w:color="auto"/>
            <w:left w:val="none" w:sz="0" w:space="0" w:color="auto"/>
            <w:bottom w:val="none" w:sz="0" w:space="0" w:color="auto"/>
            <w:right w:val="none" w:sz="0" w:space="0" w:color="auto"/>
          </w:divBdr>
        </w:div>
        <w:div w:id="2115974186">
          <w:marLeft w:val="0"/>
          <w:marRight w:val="0"/>
          <w:marTop w:val="0"/>
          <w:marBottom w:val="0"/>
          <w:divBdr>
            <w:top w:val="none" w:sz="0" w:space="0" w:color="auto"/>
            <w:left w:val="none" w:sz="0" w:space="0" w:color="auto"/>
            <w:bottom w:val="none" w:sz="0" w:space="0" w:color="auto"/>
            <w:right w:val="none" w:sz="0" w:space="0" w:color="auto"/>
          </w:divBdr>
        </w:div>
      </w:divsChild>
    </w:div>
    <w:div w:id="1106389368">
      <w:bodyDiv w:val="1"/>
      <w:marLeft w:val="0"/>
      <w:marRight w:val="0"/>
      <w:marTop w:val="0"/>
      <w:marBottom w:val="0"/>
      <w:divBdr>
        <w:top w:val="none" w:sz="0" w:space="0" w:color="auto"/>
        <w:left w:val="none" w:sz="0" w:space="0" w:color="auto"/>
        <w:bottom w:val="none" w:sz="0" w:space="0" w:color="auto"/>
        <w:right w:val="none" w:sz="0" w:space="0" w:color="auto"/>
      </w:divBdr>
    </w:div>
    <w:div w:id="1157575707">
      <w:bodyDiv w:val="1"/>
      <w:marLeft w:val="0"/>
      <w:marRight w:val="0"/>
      <w:marTop w:val="0"/>
      <w:marBottom w:val="0"/>
      <w:divBdr>
        <w:top w:val="none" w:sz="0" w:space="0" w:color="auto"/>
        <w:left w:val="none" w:sz="0" w:space="0" w:color="auto"/>
        <w:bottom w:val="none" w:sz="0" w:space="0" w:color="auto"/>
        <w:right w:val="none" w:sz="0" w:space="0" w:color="auto"/>
      </w:divBdr>
      <w:divsChild>
        <w:div w:id="1294555938">
          <w:marLeft w:val="0"/>
          <w:marRight w:val="0"/>
          <w:marTop w:val="0"/>
          <w:marBottom w:val="0"/>
          <w:divBdr>
            <w:top w:val="none" w:sz="0" w:space="0" w:color="auto"/>
            <w:left w:val="none" w:sz="0" w:space="0" w:color="auto"/>
            <w:bottom w:val="none" w:sz="0" w:space="0" w:color="auto"/>
            <w:right w:val="none" w:sz="0" w:space="0" w:color="auto"/>
          </w:divBdr>
        </w:div>
      </w:divsChild>
    </w:div>
    <w:div w:id="1186165090">
      <w:bodyDiv w:val="1"/>
      <w:marLeft w:val="0"/>
      <w:marRight w:val="0"/>
      <w:marTop w:val="0"/>
      <w:marBottom w:val="0"/>
      <w:divBdr>
        <w:top w:val="none" w:sz="0" w:space="0" w:color="auto"/>
        <w:left w:val="none" w:sz="0" w:space="0" w:color="auto"/>
        <w:bottom w:val="none" w:sz="0" w:space="0" w:color="auto"/>
        <w:right w:val="none" w:sz="0" w:space="0" w:color="auto"/>
      </w:divBdr>
      <w:divsChild>
        <w:div w:id="14814424">
          <w:marLeft w:val="0"/>
          <w:marRight w:val="0"/>
          <w:marTop w:val="0"/>
          <w:marBottom w:val="0"/>
          <w:divBdr>
            <w:top w:val="none" w:sz="0" w:space="0" w:color="auto"/>
            <w:left w:val="none" w:sz="0" w:space="0" w:color="auto"/>
            <w:bottom w:val="none" w:sz="0" w:space="0" w:color="auto"/>
            <w:right w:val="none" w:sz="0" w:space="0" w:color="auto"/>
          </w:divBdr>
        </w:div>
        <w:div w:id="34546694">
          <w:marLeft w:val="0"/>
          <w:marRight w:val="0"/>
          <w:marTop w:val="0"/>
          <w:marBottom w:val="0"/>
          <w:divBdr>
            <w:top w:val="none" w:sz="0" w:space="0" w:color="auto"/>
            <w:left w:val="none" w:sz="0" w:space="0" w:color="auto"/>
            <w:bottom w:val="none" w:sz="0" w:space="0" w:color="auto"/>
            <w:right w:val="none" w:sz="0" w:space="0" w:color="auto"/>
          </w:divBdr>
        </w:div>
        <w:div w:id="256329516">
          <w:marLeft w:val="0"/>
          <w:marRight w:val="0"/>
          <w:marTop w:val="0"/>
          <w:marBottom w:val="0"/>
          <w:divBdr>
            <w:top w:val="none" w:sz="0" w:space="0" w:color="auto"/>
            <w:left w:val="none" w:sz="0" w:space="0" w:color="auto"/>
            <w:bottom w:val="none" w:sz="0" w:space="0" w:color="auto"/>
            <w:right w:val="none" w:sz="0" w:space="0" w:color="auto"/>
          </w:divBdr>
        </w:div>
        <w:div w:id="265576848">
          <w:marLeft w:val="0"/>
          <w:marRight w:val="0"/>
          <w:marTop w:val="0"/>
          <w:marBottom w:val="0"/>
          <w:divBdr>
            <w:top w:val="none" w:sz="0" w:space="0" w:color="auto"/>
            <w:left w:val="none" w:sz="0" w:space="0" w:color="auto"/>
            <w:bottom w:val="none" w:sz="0" w:space="0" w:color="auto"/>
            <w:right w:val="none" w:sz="0" w:space="0" w:color="auto"/>
          </w:divBdr>
        </w:div>
        <w:div w:id="394552704">
          <w:marLeft w:val="0"/>
          <w:marRight w:val="0"/>
          <w:marTop w:val="0"/>
          <w:marBottom w:val="0"/>
          <w:divBdr>
            <w:top w:val="none" w:sz="0" w:space="0" w:color="auto"/>
            <w:left w:val="none" w:sz="0" w:space="0" w:color="auto"/>
            <w:bottom w:val="none" w:sz="0" w:space="0" w:color="auto"/>
            <w:right w:val="none" w:sz="0" w:space="0" w:color="auto"/>
          </w:divBdr>
        </w:div>
        <w:div w:id="705762679">
          <w:marLeft w:val="0"/>
          <w:marRight w:val="0"/>
          <w:marTop w:val="0"/>
          <w:marBottom w:val="0"/>
          <w:divBdr>
            <w:top w:val="none" w:sz="0" w:space="0" w:color="auto"/>
            <w:left w:val="none" w:sz="0" w:space="0" w:color="auto"/>
            <w:bottom w:val="none" w:sz="0" w:space="0" w:color="auto"/>
            <w:right w:val="none" w:sz="0" w:space="0" w:color="auto"/>
          </w:divBdr>
        </w:div>
        <w:div w:id="970089257">
          <w:marLeft w:val="0"/>
          <w:marRight w:val="0"/>
          <w:marTop w:val="0"/>
          <w:marBottom w:val="0"/>
          <w:divBdr>
            <w:top w:val="none" w:sz="0" w:space="0" w:color="auto"/>
            <w:left w:val="none" w:sz="0" w:space="0" w:color="auto"/>
            <w:bottom w:val="none" w:sz="0" w:space="0" w:color="auto"/>
            <w:right w:val="none" w:sz="0" w:space="0" w:color="auto"/>
          </w:divBdr>
        </w:div>
        <w:div w:id="1030296782">
          <w:marLeft w:val="0"/>
          <w:marRight w:val="0"/>
          <w:marTop w:val="0"/>
          <w:marBottom w:val="0"/>
          <w:divBdr>
            <w:top w:val="none" w:sz="0" w:space="0" w:color="auto"/>
            <w:left w:val="none" w:sz="0" w:space="0" w:color="auto"/>
            <w:bottom w:val="none" w:sz="0" w:space="0" w:color="auto"/>
            <w:right w:val="none" w:sz="0" w:space="0" w:color="auto"/>
          </w:divBdr>
        </w:div>
        <w:div w:id="1159812185">
          <w:marLeft w:val="0"/>
          <w:marRight w:val="0"/>
          <w:marTop w:val="0"/>
          <w:marBottom w:val="0"/>
          <w:divBdr>
            <w:top w:val="none" w:sz="0" w:space="0" w:color="auto"/>
            <w:left w:val="none" w:sz="0" w:space="0" w:color="auto"/>
            <w:bottom w:val="none" w:sz="0" w:space="0" w:color="auto"/>
            <w:right w:val="none" w:sz="0" w:space="0" w:color="auto"/>
          </w:divBdr>
        </w:div>
        <w:div w:id="1385059108">
          <w:marLeft w:val="0"/>
          <w:marRight w:val="0"/>
          <w:marTop w:val="0"/>
          <w:marBottom w:val="0"/>
          <w:divBdr>
            <w:top w:val="none" w:sz="0" w:space="0" w:color="auto"/>
            <w:left w:val="none" w:sz="0" w:space="0" w:color="auto"/>
            <w:bottom w:val="none" w:sz="0" w:space="0" w:color="auto"/>
            <w:right w:val="none" w:sz="0" w:space="0" w:color="auto"/>
          </w:divBdr>
        </w:div>
        <w:div w:id="1931888930">
          <w:marLeft w:val="0"/>
          <w:marRight w:val="0"/>
          <w:marTop w:val="0"/>
          <w:marBottom w:val="0"/>
          <w:divBdr>
            <w:top w:val="none" w:sz="0" w:space="0" w:color="auto"/>
            <w:left w:val="none" w:sz="0" w:space="0" w:color="auto"/>
            <w:bottom w:val="none" w:sz="0" w:space="0" w:color="auto"/>
            <w:right w:val="none" w:sz="0" w:space="0" w:color="auto"/>
          </w:divBdr>
        </w:div>
        <w:div w:id="2035762419">
          <w:marLeft w:val="0"/>
          <w:marRight w:val="0"/>
          <w:marTop w:val="0"/>
          <w:marBottom w:val="0"/>
          <w:divBdr>
            <w:top w:val="none" w:sz="0" w:space="0" w:color="auto"/>
            <w:left w:val="none" w:sz="0" w:space="0" w:color="auto"/>
            <w:bottom w:val="none" w:sz="0" w:space="0" w:color="auto"/>
            <w:right w:val="none" w:sz="0" w:space="0" w:color="auto"/>
          </w:divBdr>
        </w:div>
      </w:divsChild>
    </w:div>
    <w:div w:id="1203789037">
      <w:bodyDiv w:val="1"/>
      <w:marLeft w:val="0"/>
      <w:marRight w:val="0"/>
      <w:marTop w:val="0"/>
      <w:marBottom w:val="0"/>
      <w:divBdr>
        <w:top w:val="none" w:sz="0" w:space="0" w:color="auto"/>
        <w:left w:val="none" w:sz="0" w:space="0" w:color="auto"/>
        <w:bottom w:val="none" w:sz="0" w:space="0" w:color="auto"/>
        <w:right w:val="none" w:sz="0" w:space="0" w:color="auto"/>
      </w:divBdr>
      <w:divsChild>
        <w:div w:id="1444039357">
          <w:marLeft w:val="0"/>
          <w:marRight w:val="0"/>
          <w:marTop w:val="0"/>
          <w:marBottom w:val="0"/>
          <w:divBdr>
            <w:top w:val="none" w:sz="0" w:space="0" w:color="auto"/>
            <w:left w:val="none" w:sz="0" w:space="0" w:color="auto"/>
            <w:bottom w:val="none" w:sz="0" w:space="0" w:color="auto"/>
            <w:right w:val="none" w:sz="0" w:space="0" w:color="auto"/>
          </w:divBdr>
        </w:div>
      </w:divsChild>
    </w:div>
    <w:div w:id="1335452566">
      <w:bodyDiv w:val="1"/>
      <w:marLeft w:val="0"/>
      <w:marRight w:val="0"/>
      <w:marTop w:val="0"/>
      <w:marBottom w:val="0"/>
      <w:divBdr>
        <w:top w:val="none" w:sz="0" w:space="0" w:color="auto"/>
        <w:left w:val="none" w:sz="0" w:space="0" w:color="auto"/>
        <w:bottom w:val="none" w:sz="0" w:space="0" w:color="auto"/>
        <w:right w:val="none" w:sz="0" w:space="0" w:color="auto"/>
      </w:divBdr>
      <w:divsChild>
        <w:div w:id="553735987">
          <w:marLeft w:val="0"/>
          <w:marRight w:val="0"/>
          <w:marTop w:val="0"/>
          <w:marBottom w:val="0"/>
          <w:divBdr>
            <w:top w:val="none" w:sz="0" w:space="0" w:color="auto"/>
            <w:left w:val="none" w:sz="0" w:space="0" w:color="auto"/>
            <w:bottom w:val="none" w:sz="0" w:space="0" w:color="auto"/>
            <w:right w:val="none" w:sz="0" w:space="0" w:color="auto"/>
          </w:divBdr>
        </w:div>
      </w:divsChild>
    </w:div>
    <w:div w:id="1373069799">
      <w:bodyDiv w:val="1"/>
      <w:marLeft w:val="0"/>
      <w:marRight w:val="0"/>
      <w:marTop w:val="0"/>
      <w:marBottom w:val="0"/>
      <w:divBdr>
        <w:top w:val="none" w:sz="0" w:space="0" w:color="auto"/>
        <w:left w:val="none" w:sz="0" w:space="0" w:color="auto"/>
        <w:bottom w:val="none" w:sz="0" w:space="0" w:color="auto"/>
        <w:right w:val="none" w:sz="0" w:space="0" w:color="auto"/>
      </w:divBdr>
      <w:divsChild>
        <w:div w:id="1938782929">
          <w:marLeft w:val="0"/>
          <w:marRight w:val="0"/>
          <w:marTop w:val="0"/>
          <w:marBottom w:val="0"/>
          <w:divBdr>
            <w:top w:val="none" w:sz="0" w:space="0" w:color="auto"/>
            <w:left w:val="none" w:sz="0" w:space="0" w:color="auto"/>
            <w:bottom w:val="none" w:sz="0" w:space="0" w:color="auto"/>
            <w:right w:val="none" w:sz="0" w:space="0" w:color="auto"/>
          </w:divBdr>
        </w:div>
      </w:divsChild>
    </w:div>
    <w:div w:id="1445609134">
      <w:bodyDiv w:val="1"/>
      <w:marLeft w:val="0"/>
      <w:marRight w:val="0"/>
      <w:marTop w:val="0"/>
      <w:marBottom w:val="0"/>
      <w:divBdr>
        <w:top w:val="none" w:sz="0" w:space="0" w:color="auto"/>
        <w:left w:val="none" w:sz="0" w:space="0" w:color="auto"/>
        <w:bottom w:val="none" w:sz="0" w:space="0" w:color="auto"/>
        <w:right w:val="none" w:sz="0" w:space="0" w:color="auto"/>
      </w:divBdr>
    </w:div>
    <w:div w:id="1510212509">
      <w:bodyDiv w:val="1"/>
      <w:marLeft w:val="0"/>
      <w:marRight w:val="0"/>
      <w:marTop w:val="0"/>
      <w:marBottom w:val="0"/>
      <w:divBdr>
        <w:top w:val="none" w:sz="0" w:space="0" w:color="auto"/>
        <w:left w:val="none" w:sz="0" w:space="0" w:color="auto"/>
        <w:bottom w:val="none" w:sz="0" w:space="0" w:color="auto"/>
        <w:right w:val="none" w:sz="0" w:space="0" w:color="auto"/>
      </w:divBdr>
    </w:div>
    <w:div w:id="1542207226">
      <w:bodyDiv w:val="1"/>
      <w:marLeft w:val="0"/>
      <w:marRight w:val="0"/>
      <w:marTop w:val="0"/>
      <w:marBottom w:val="0"/>
      <w:divBdr>
        <w:top w:val="none" w:sz="0" w:space="0" w:color="auto"/>
        <w:left w:val="none" w:sz="0" w:space="0" w:color="auto"/>
        <w:bottom w:val="none" w:sz="0" w:space="0" w:color="auto"/>
        <w:right w:val="none" w:sz="0" w:space="0" w:color="auto"/>
      </w:divBdr>
      <w:divsChild>
        <w:div w:id="507409790">
          <w:marLeft w:val="0"/>
          <w:marRight w:val="0"/>
          <w:marTop w:val="0"/>
          <w:marBottom w:val="0"/>
          <w:divBdr>
            <w:top w:val="none" w:sz="0" w:space="0" w:color="auto"/>
            <w:left w:val="none" w:sz="0" w:space="0" w:color="auto"/>
            <w:bottom w:val="none" w:sz="0" w:space="0" w:color="auto"/>
            <w:right w:val="none" w:sz="0" w:space="0" w:color="auto"/>
          </w:divBdr>
        </w:div>
        <w:div w:id="2074232776">
          <w:marLeft w:val="0"/>
          <w:marRight w:val="0"/>
          <w:marTop w:val="0"/>
          <w:marBottom w:val="0"/>
          <w:divBdr>
            <w:top w:val="none" w:sz="0" w:space="0" w:color="auto"/>
            <w:left w:val="none" w:sz="0" w:space="0" w:color="auto"/>
            <w:bottom w:val="none" w:sz="0" w:space="0" w:color="auto"/>
            <w:right w:val="none" w:sz="0" w:space="0" w:color="auto"/>
          </w:divBdr>
        </w:div>
      </w:divsChild>
    </w:div>
    <w:div w:id="1701467108">
      <w:bodyDiv w:val="1"/>
      <w:marLeft w:val="0"/>
      <w:marRight w:val="0"/>
      <w:marTop w:val="0"/>
      <w:marBottom w:val="0"/>
      <w:divBdr>
        <w:top w:val="none" w:sz="0" w:space="0" w:color="auto"/>
        <w:left w:val="none" w:sz="0" w:space="0" w:color="auto"/>
        <w:bottom w:val="none" w:sz="0" w:space="0" w:color="auto"/>
        <w:right w:val="none" w:sz="0" w:space="0" w:color="auto"/>
      </w:divBdr>
      <w:divsChild>
        <w:div w:id="431359689">
          <w:marLeft w:val="0"/>
          <w:marRight w:val="0"/>
          <w:marTop w:val="0"/>
          <w:marBottom w:val="0"/>
          <w:divBdr>
            <w:top w:val="none" w:sz="0" w:space="0" w:color="auto"/>
            <w:left w:val="none" w:sz="0" w:space="0" w:color="auto"/>
            <w:bottom w:val="none" w:sz="0" w:space="0" w:color="auto"/>
            <w:right w:val="none" w:sz="0" w:space="0" w:color="auto"/>
          </w:divBdr>
        </w:div>
      </w:divsChild>
    </w:div>
    <w:div w:id="1716656601">
      <w:bodyDiv w:val="1"/>
      <w:marLeft w:val="0"/>
      <w:marRight w:val="0"/>
      <w:marTop w:val="0"/>
      <w:marBottom w:val="0"/>
      <w:divBdr>
        <w:top w:val="none" w:sz="0" w:space="0" w:color="auto"/>
        <w:left w:val="none" w:sz="0" w:space="0" w:color="auto"/>
        <w:bottom w:val="none" w:sz="0" w:space="0" w:color="auto"/>
        <w:right w:val="none" w:sz="0" w:space="0" w:color="auto"/>
      </w:divBdr>
    </w:div>
    <w:div w:id="1754005583">
      <w:bodyDiv w:val="1"/>
      <w:marLeft w:val="0"/>
      <w:marRight w:val="0"/>
      <w:marTop w:val="0"/>
      <w:marBottom w:val="0"/>
      <w:divBdr>
        <w:top w:val="none" w:sz="0" w:space="0" w:color="auto"/>
        <w:left w:val="none" w:sz="0" w:space="0" w:color="auto"/>
        <w:bottom w:val="none" w:sz="0" w:space="0" w:color="auto"/>
        <w:right w:val="none" w:sz="0" w:space="0" w:color="auto"/>
      </w:divBdr>
    </w:div>
    <w:div w:id="1815948966">
      <w:bodyDiv w:val="1"/>
      <w:marLeft w:val="0"/>
      <w:marRight w:val="0"/>
      <w:marTop w:val="0"/>
      <w:marBottom w:val="0"/>
      <w:divBdr>
        <w:top w:val="none" w:sz="0" w:space="0" w:color="auto"/>
        <w:left w:val="none" w:sz="0" w:space="0" w:color="auto"/>
        <w:bottom w:val="none" w:sz="0" w:space="0" w:color="auto"/>
        <w:right w:val="none" w:sz="0" w:space="0" w:color="auto"/>
      </w:divBdr>
    </w:div>
    <w:div w:id="1838765521">
      <w:bodyDiv w:val="1"/>
      <w:marLeft w:val="0"/>
      <w:marRight w:val="0"/>
      <w:marTop w:val="0"/>
      <w:marBottom w:val="0"/>
      <w:divBdr>
        <w:top w:val="none" w:sz="0" w:space="0" w:color="auto"/>
        <w:left w:val="none" w:sz="0" w:space="0" w:color="auto"/>
        <w:bottom w:val="none" w:sz="0" w:space="0" w:color="auto"/>
        <w:right w:val="none" w:sz="0" w:space="0" w:color="auto"/>
      </w:divBdr>
    </w:div>
    <w:div w:id="1937902591">
      <w:bodyDiv w:val="1"/>
      <w:marLeft w:val="0"/>
      <w:marRight w:val="0"/>
      <w:marTop w:val="0"/>
      <w:marBottom w:val="0"/>
      <w:divBdr>
        <w:top w:val="none" w:sz="0" w:space="0" w:color="auto"/>
        <w:left w:val="none" w:sz="0" w:space="0" w:color="auto"/>
        <w:bottom w:val="none" w:sz="0" w:space="0" w:color="auto"/>
        <w:right w:val="none" w:sz="0" w:space="0" w:color="auto"/>
      </w:divBdr>
      <w:divsChild>
        <w:div w:id="108555039">
          <w:marLeft w:val="0"/>
          <w:marRight w:val="0"/>
          <w:marTop w:val="0"/>
          <w:marBottom w:val="0"/>
          <w:divBdr>
            <w:top w:val="none" w:sz="0" w:space="0" w:color="auto"/>
            <w:left w:val="none" w:sz="0" w:space="0" w:color="auto"/>
            <w:bottom w:val="none" w:sz="0" w:space="0" w:color="auto"/>
            <w:right w:val="none" w:sz="0" w:space="0" w:color="auto"/>
          </w:divBdr>
        </w:div>
        <w:div w:id="809054101">
          <w:marLeft w:val="0"/>
          <w:marRight w:val="0"/>
          <w:marTop w:val="0"/>
          <w:marBottom w:val="0"/>
          <w:divBdr>
            <w:top w:val="none" w:sz="0" w:space="0" w:color="auto"/>
            <w:left w:val="none" w:sz="0" w:space="0" w:color="auto"/>
            <w:bottom w:val="none" w:sz="0" w:space="0" w:color="auto"/>
            <w:right w:val="none" w:sz="0" w:space="0" w:color="auto"/>
          </w:divBdr>
        </w:div>
        <w:div w:id="1471481683">
          <w:marLeft w:val="0"/>
          <w:marRight w:val="0"/>
          <w:marTop w:val="0"/>
          <w:marBottom w:val="0"/>
          <w:divBdr>
            <w:top w:val="none" w:sz="0" w:space="0" w:color="auto"/>
            <w:left w:val="none" w:sz="0" w:space="0" w:color="auto"/>
            <w:bottom w:val="none" w:sz="0" w:space="0" w:color="auto"/>
            <w:right w:val="none" w:sz="0" w:space="0" w:color="auto"/>
          </w:divBdr>
        </w:div>
      </w:divsChild>
    </w:div>
    <w:div w:id="2004814501">
      <w:bodyDiv w:val="1"/>
      <w:marLeft w:val="0"/>
      <w:marRight w:val="0"/>
      <w:marTop w:val="0"/>
      <w:marBottom w:val="0"/>
      <w:divBdr>
        <w:top w:val="none" w:sz="0" w:space="0" w:color="auto"/>
        <w:left w:val="none" w:sz="0" w:space="0" w:color="auto"/>
        <w:bottom w:val="none" w:sz="0" w:space="0" w:color="auto"/>
        <w:right w:val="none" w:sz="0" w:space="0" w:color="auto"/>
      </w:divBdr>
    </w:div>
    <w:div w:id="2038650750">
      <w:bodyDiv w:val="1"/>
      <w:marLeft w:val="0"/>
      <w:marRight w:val="0"/>
      <w:marTop w:val="0"/>
      <w:marBottom w:val="0"/>
      <w:divBdr>
        <w:top w:val="none" w:sz="0" w:space="0" w:color="auto"/>
        <w:left w:val="none" w:sz="0" w:space="0" w:color="auto"/>
        <w:bottom w:val="none" w:sz="0" w:space="0" w:color="auto"/>
        <w:right w:val="none" w:sz="0" w:space="0" w:color="auto"/>
      </w:divBdr>
      <w:divsChild>
        <w:div w:id="608242672">
          <w:marLeft w:val="0"/>
          <w:marRight w:val="0"/>
          <w:marTop w:val="0"/>
          <w:marBottom w:val="0"/>
          <w:divBdr>
            <w:top w:val="none" w:sz="0" w:space="0" w:color="auto"/>
            <w:left w:val="none" w:sz="0" w:space="0" w:color="auto"/>
            <w:bottom w:val="none" w:sz="0" w:space="0" w:color="auto"/>
            <w:right w:val="none" w:sz="0" w:space="0" w:color="auto"/>
          </w:divBdr>
        </w:div>
        <w:div w:id="1332217550">
          <w:marLeft w:val="0"/>
          <w:marRight w:val="0"/>
          <w:marTop w:val="0"/>
          <w:marBottom w:val="0"/>
          <w:divBdr>
            <w:top w:val="none" w:sz="0" w:space="0" w:color="auto"/>
            <w:left w:val="none" w:sz="0" w:space="0" w:color="auto"/>
            <w:bottom w:val="none" w:sz="0" w:space="0" w:color="auto"/>
            <w:right w:val="none" w:sz="0" w:space="0" w:color="auto"/>
          </w:divBdr>
        </w:div>
      </w:divsChild>
    </w:div>
    <w:div w:id="2125885798">
      <w:bodyDiv w:val="1"/>
      <w:marLeft w:val="0"/>
      <w:marRight w:val="0"/>
      <w:marTop w:val="0"/>
      <w:marBottom w:val="0"/>
      <w:divBdr>
        <w:top w:val="none" w:sz="0" w:space="0" w:color="auto"/>
        <w:left w:val="none" w:sz="0" w:space="0" w:color="auto"/>
        <w:bottom w:val="none" w:sz="0" w:space="0" w:color="auto"/>
        <w:right w:val="none" w:sz="0" w:space="0" w:color="auto"/>
      </w:divBdr>
      <w:divsChild>
        <w:div w:id="1456560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ading.ac.uk/ready-to-study/study/what-offer-will-i-g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tic.reading.ac.uk/content/PDFs/files/Evaluation/Access-Reading-Evaluation-Report-March-202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ficeforstudents.org.uk/data-and-analysis/access-and-participation-data-dashboard/data-dashboar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UoR - Theme">
  <a:themeElements>
    <a:clrScheme name="UoR - Theme">
      <a:dk1>
        <a:srgbClr val="50535A"/>
      </a:dk1>
      <a:lt1>
        <a:srgbClr val="FFFFFF"/>
      </a:lt1>
      <a:dk2>
        <a:srgbClr val="000000"/>
      </a:dk2>
      <a:lt2>
        <a:srgbClr val="E0E0E1"/>
      </a:lt2>
      <a:accent1>
        <a:srgbClr val="D2002E"/>
      </a:accent1>
      <a:accent2>
        <a:srgbClr val="EF7945"/>
      </a:accent2>
      <a:accent3>
        <a:srgbClr val="009A84"/>
      </a:accent3>
      <a:accent4>
        <a:srgbClr val="8ABD24"/>
      </a:accent4>
      <a:accent5>
        <a:srgbClr val="00AEEF"/>
      </a:accent5>
      <a:accent6>
        <a:srgbClr val="79679C"/>
      </a:accent6>
      <a:hlink>
        <a:srgbClr val="D2002E"/>
      </a:hlink>
      <a:folHlink>
        <a:srgbClr val="747478"/>
      </a:folHlink>
    </a:clrScheme>
    <a:fontScheme name="UoR - Theme">
      <a:majorFont>
        <a:latin typeface="Effra Bold"/>
        <a:ea typeface=""/>
        <a:cs typeface=""/>
      </a:majorFont>
      <a:minorFont>
        <a:latin typeface="Effra"/>
        <a:ea typeface=""/>
        <a:cs typeface=""/>
      </a:minorFont>
    </a:fontScheme>
    <a:fmtScheme name="UoR -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8100">
          <a:solidFill>
            <a:schemeClr val="accent1"/>
          </a:solidFill>
        </a:ln>
      </a:spPr>
      <a:bodyPr wrap="none">
        <a:spAutoFit/>
      </a:bodyPr>
      <a:lstStyle>
        <a:defPPr>
          <a:defRPr dirty="0">
            <a:solidFill>
              <a:schemeClr val="tx2"/>
            </a:solidFill>
            <a:latin typeface="+mn-lt"/>
          </a:defRPr>
        </a:defPPr>
      </a:lstStyle>
    </a:spDef>
    <a:lnDef>
      <a:spPr bwMode="auto">
        <a:noFill/>
        <a:ln w="38100" cap="flat" cmpd="sng" algn="ctr">
          <a:solidFill>
            <a:schemeClr val="accent1"/>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a:lstStyle/>
    </a:lnDef>
    <a:txDef>
      <a:spPr>
        <a:noFill/>
      </a:spPr>
      <a:bodyPr wrap="square" rtlCol="0">
        <a:spAutoFit/>
      </a:bodyPr>
      <a:lstStyle>
        <a:defPPr>
          <a:defRPr dirty="0" smtClean="0">
            <a:solidFill>
              <a:schemeClr val="tx2"/>
            </a:solidFill>
            <a:latin typeface="+mn-lt"/>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659945-eb9d-43c6-af69-4bc52b944968" xsi:nil="true"/>
    <lcf76f155ced4ddcb4097134ff3c332f xmlns="e05ba953-cf8b-491d-ba87-91e954c227b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3039F55DC3BC4AA3F2E371230C76AA" ma:contentTypeVersion="11" ma:contentTypeDescription="Create a new document." ma:contentTypeScope="" ma:versionID="c44c9298d428bdb2164de22de6e7d5d7">
  <xsd:schema xmlns:xsd="http://www.w3.org/2001/XMLSchema" xmlns:xs="http://www.w3.org/2001/XMLSchema" xmlns:p="http://schemas.microsoft.com/office/2006/metadata/properties" xmlns:ns2="e05ba953-cf8b-491d-ba87-91e954c227bd" xmlns:ns3="fc659945-eb9d-43c6-af69-4bc52b944968" targetNamespace="http://schemas.microsoft.com/office/2006/metadata/properties" ma:root="true" ma:fieldsID="52fadc10e900050477a746d781976c11" ns2:_="" ns3:_="">
    <xsd:import namespace="e05ba953-cf8b-491d-ba87-91e954c227bd"/>
    <xsd:import namespace="fc659945-eb9d-43c6-af69-4bc52b9449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ba953-cf8b-491d-ba87-91e954c22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59945-eb9d-43c6-af69-4bc52b9449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9b4aefc-7b5b-47c3-b763-1c1dd61db514}" ma:internalName="TaxCatchAll" ma:showField="CatchAllData" ma:web="fc659945-eb9d-43c6-af69-4bc52b9449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C153B4-061C-4ECB-BC7F-C62A51A6A851}">
  <ds:schemaRefs>
    <ds:schemaRef ds:uri="http://schemas.openxmlformats.org/officeDocument/2006/bibliography"/>
  </ds:schemaRefs>
</ds:datastoreItem>
</file>

<file path=customXml/itemProps2.xml><?xml version="1.0" encoding="utf-8"?>
<ds:datastoreItem xmlns:ds="http://schemas.openxmlformats.org/officeDocument/2006/customXml" ds:itemID="{E1C84AD0-43A3-427B-BFD1-0FA317E71ED2}">
  <ds:schemaRefs>
    <ds:schemaRef ds:uri="http://schemas.microsoft.com/sharepoint/v3/contenttype/forms"/>
  </ds:schemaRefs>
</ds:datastoreItem>
</file>

<file path=customXml/itemProps3.xml><?xml version="1.0" encoding="utf-8"?>
<ds:datastoreItem xmlns:ds="http://schemas.openxmlformats.org/officeDocument/2006/customXml" ds:itemID="{35095328-2131-420E-A3D1-8E063FE9343A}">
  <ds:schemaRefs>
    <ds:schemaRef ds:uri="http://schemas.microsoft.com/office/2006/metadata/properties"/>
    <ds:schemaRef ds:uri="http://schemas.microsoft.com/office/infopath/2007/PartnerControls"/>
    <ds:schemaRef ds:uri="fc659945-eb9d-43c6-af69-4bc52b944968"/>
    <ds:schemaRef ds:uri="e05ba953-cf8b-491d-ba87-91e954c227bd"/>
  </ds:schemaRefs>
</ds:datastoreItem>
</file>

<file path=customXml/itemProps4.xml><?xml version="1.0" encoding="utf-8"?>
<ds:datastoreItem xmlns:ds="http://schemas.openxmlformats.org/officeDocument/2006/customXml" ds:itemID="{049BDC2A-0536-46A2-A7F4-C565C6A4C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ba953-cf8b-491d-ba87-91e954c227bd"/>
    <ds:schemaRef ds:uri="fc659945-eb9d-43c6-af69-4bc52b944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7778</Words>
  <Characters>44336</Characters>
  <Application>Microsoft Office Word</Application>
  <DocSecurity>8</DocSecurity>
  <Lines>369</Lines>
  <Paragraphs>104</Paragraphs>
  <ScaleCrop>false</ScaleCrop>
  <HeadingPairs>
    <vt:vector size="2" baseType="variant">
      <vt:variant>
        <vt:lpstr>Title</vt:lpstr>
      </vt:variant>
      <vt:variant>
        <vt:i4>1</vt:i4>
      </vt:variant>
    </vt:vector>
  </HeadingPairs>
  <TitlesOfParts>
    <vt:vector size="1" baseType="lpstr">
      <vt:lpstr>APP Evaluation Report - Access Reading April 2026</vt:lpstr>
    </vt:vector>
  </TitlesOfParts>
  <Company>University of Reading</Company>
  <LinksUpToDate>false</LinksUpToDate>
  <CharactersWithSpaces>52010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Evaluation Report - Access Reading April 2026</dc:title>
  <dc:subject/>
  <dc:creator>Harvey Owen</dc:creator>
  <cp:keywords/>
  <cp:lastModifiedBy>Lydia Fletcher</cp:lastModifiedBy>
  <cp:revision>2</cp:revision>
  <cp:lastPrinted>2026-04-14T10:25:00Z</cp:lastPrinted>
  <dcterms:created xsi:type="dcterms:W3CDTF">2026-05-14T13:52:00Z</dcterms:created>
  <dcterms:modified xsi:type="dcterms:W3CDTF">2026-05-14T13:52:00Z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0x010100E43039F55DC3BC4AA3F2E371230C76AA</vt:lpwstr>
  </property>
  <property fmtid="{D5CDD505-2E9C-101B-9397-08002B2CF9AE}" pid="3" name="Order">
    <vt:r8>56300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SharedWithUsers">
    <vt:lpwstr>550;#Louise Thomas-Burt;#363;#Graham Philpott;#877;#Alexandra Baker;#362;#Fi Illes;#878;#Holly Forsyth;#879;#Billah Qureshi;#334;#Lydia Fletcher;#565;#Amy Fairbrother;#880;#Vicki Wiles;#614;#Lissy Upton</vt:lpwstr>
  </property>
  <property fmtid="{D5CDD505-2E9C-101B-9397-08002B2CF9AE}" pid="12" name="_MarkAsFinal">
    <vt:bool>true</vt:bool>
  </property>
</Properties>
</file>